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52" w:rsidRDefault="005F7F5E">
      <w:pPr>
        <w:spacing w:line="560" w:lineRule="exact"/>
        <w:jc w:val="center"/>
        <w:rPr>
          <w:rFonts w:ascii="Times New Roman" w:eastAsia="方正小标宋简体" w:hAnsi="Times New Roman" w:cs="方正小标宋简体"/>
          <w:w w:val="95"/>
          <w:sz w:val="44"/>
          <w:szCs w:val="44"/>
        </w:rPr>
      </w:pPr>
      <w:r>
        <w:rPr>
          <w:rFonts w:ascii="方正小标宋简体" w:eastAsia="方正小标宋简体" w:hAnsi="方正小标宋简体" w:cs="方正小标宋简体" w:hint="eastAsia"/>
          <w:w w:val="95"/>
          <w:sz w:val="44"/>
          <w:szCs w:val="44"/>
        </w:rPr>
        <w:t>咸宁市</w:t>
      </w:r>
      <w:r>
        <w:rPr>
          <w:rFonts w:ascii="方正小标宋简体" w:eastAsia="方正小标宋简体" w:hAnsi="方正小标宋简体" w:cs="方正小标宋简体" w:hint="eastAsia"/>
          <w:w w:val="95"/>
          <w:sz w:val="44"/>
          <w:szCs w:val="44"/>
        </w:rPr>
        <w:t>202</w:t>
      </w:r>
      <w:r>
        <w:rPr>
          <w:rFonts w:ascii="方正小标宋简体" w:eastAsia="方正小标宋简体" w:hAnsi="方正小标宋简体" w:cs="方正小标宋简体" w:hint="eastAsia"/>
          <w:w w:val="95"/>
          <w:sz w:val="44"/>
          <w:szCs w:val="44"/>
        </w:rPr>
        <w:t>3</w:t>
      </w:r>
      <w:r>
        <w:rPr>
          <w:rFonts w:ascii="方正小标宋简体" w:eastAsia="方正小标宋简体" w:hAnsi="方正小标宋简体" w:cs="方正小标宋简体" w:hint="eastAsia"/>
          <w:w w:val="95"/>
          <w:sz w:val="44"/>
          <w:szCs w:val="44"/>
        </w:rPr>
        <w:t>年国民经济和社会发展统计公报</w:t>
      </w:r>
    </w:p>
    <w:p w:rsidR="00B00752" w:rsidRDefault="00B00752">
      <w:pPr>
        <w:spacing w:line="560" w:lineRule="exact"/>
        <w:jc w:val="center"/>
        <w:rPr>
          <w:rFonts w:ascii="Times New Roman" w:eastAsia="方正小标宋简体" w:hAnsi="Times New Roman" w:cs="方正小标宋简体"/>
          <w:sz w:val="28"/>
          <w:szCs w:val="28"/>
        </w:rPr>
      </w:pP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是全面贯彻落实党的二十大精神的开局之年。一年来，面对严峻、复杂、多变的经济发展形势，在市委、市政府的坚强领导下，全市上下坚持以习近平新时代中国特色社会主义思想为指导，全面贯彻落实党的二十大和二十届二中全会精神，按照省第十二次党代会总体部署和市第六次党代会工作安排，坚持稳中求进总基调，聚焦高质量发展，统筹发展和安全，切实抓好强信心、稳增长、防风险、推改革、惠民生等工作，经济运行稳定向好、稳中提质，武汉都市圈自然生态公园城市建设取得新进展、新突破。</w:t>
      </w:r>
    </w:p>
    <w:p w:rsidR="00B00752" w:rsidRDefault="005F7F5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一、综合</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初步</w:t>
      </w:r>
      <w:r>
        <w:rPr>
          <w:rFonts w:ascii="仿宋_GB2312" w:eastAsia="仿宋_GB2312" w:hAnsi="仿宋_GB2312" w:cs="仿宋_GB2312" w:hint="eastAsia"/>
          <w:sz w:val="32"/>
          <w:szCs w:val="32"/>
        </w:rPr>
        <w:t>核算，</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年完成</w:t>
      </w:r>
      <w:r>
        <w:rPr>
          <w:rFonts w:ascii="仿宋_GB2312" w:eastAsia="仿宋_GB2312" w:hAnsi="仿宋_GB2312" w:cs="仿宋_GB2312" w:hint="eastAsia"/>
          <w:sz w:val="32"/>
          <w:szCs w:val="32"/>
        </w:rPr>
        <w:t>地区</w:t>
      </w:r>
      <w:r>
        <w:rPr>
          <w:rFonts w:ascii="仿宋_GB2312" w:eastAsia="仿宋_GB2312" w:hAnsi="仿宋_GB2312" w:cs="仿宋_GB2312" w:hint="eastAsia"/>
          <w:sz w:val="32"/>
          <w:szCs w:val="32"/>
        </w:rPr>
        <w:t>生产总值</w:t>
      </w:r>
      <w:r>
        <w:rPr>
          <w:rFonts w:ascii="仿宋_GB2312" w:eastAsia="仿宋_GB2312" w:hAnsi="仿宋_GB2312" w:cs="仿宋_GB2312" w:hint="eastAsia"/>
          <w:sz w:val="32"/>
          <w:szCs w:val="32"/>
        </w:rPr>
        <w:t>1819.23</w:t>
      </w:r>
      <w:r>
        <w:rPr>
          <w:rFonts w:ascii="仿宋_GB2312" w:eastAsia="仿宋_GB2312" w:hAnsi="仿宋_GB2312" w:cs="仿宋_GB2312" w:hint="eastAsia"/>
          <w:sz w:val="32"/>
          <w:szCs w:val="32"/>
        </w:rPr>
        <w:t>亿元，按不变价计算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比上年</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第一产业增加值</w:t>
      </w:r>
      <w:r>
        <w:rPr>
          <w:rFonts w:ascii="仿宋_GB2312" w:eastAsia="仿宋_GB2312" w:hAnsi="仿宋_GB2312" w:cs="仿宋_GB2312" w:hint="eastAsia"/>
          <w:sz w:val="32"/>
          <w:szCs w:val="32"/>
        </w:rPr>
        <w:t>257.73</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；第二产业增加值</w:t>
      </w:r>
      <w:r>
        <w:rPr>
          <w:rFonts w:ascii="仿宋_GB2312" w:eastAsia="仿宋_GB2312" w:hAnsi="仿宋_GB2312" w:cs="仿宋_GB2312" w:hint="eastAsia"/>
          <w:sz w:val="32"/>
          <w:szCs w:val="32"/>
        </w:rPr>
        <w:t>594.57</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，下降</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；第三产业增加值</w:t>
      </w:r>
      <w:r>
        <w:rPr>
          <w:rFonts w:ascii="仿宋_GB2312" w:eastAsia="仿宋_GB2312" w:hAnsi="仿宋_GB2312" w:cs="仿宋_GB2312" w:hint="eastAsia"/>
          <w:sz w:val="32"/>
          <w:szCs w:val="32"/>
        </w:rPr>
        <w:t>966.93</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，三次产业结构比为</w:t>
      </w:r>
      <w:r>
        <w:rPr>
          <w:rFonts w:ascii="仿宋_GB2312" w:eastAsia="仿宋_GB2312" w:hAnsi="仿宋_GB2312" w:cs="仿宋_GB2312" w:hint="eastAsia"/>
          <w:sz w:val="32"/>
          <w:szCs w:val="32"/>
        </w:rPr>
        <w:t>14.2:32.7:53.1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全年人均地区生产总值</w:t>
      </w:r>
      <w:r>
        <w:rPr>
          <w:rFonts w:ascii="仿宋_GB2312" w:eastAsia="仿宋_GB2312" w:hAnsi="仿宋_GB2312" w:cs="仿宋_GB2312" w:hint="eastAsia"/>
          <w:sz w:val="32"/>
          <w:szCs w:val="32"/>
        </w:rPr>
        <w:t>69634</w:t>
      </w:r>
      <w:r>
        <w:rPr>
          <w:rFonts w:ascii="仿宋_GB2312" w:eastAsia="仿宋_GB2312" w:hAnsi="仿宋_GB2312" w:cs="仿宋_GB2312" w:hint="eastAsia"/>
          <w:sz w:val="32"/>
          <w:szCs w:val="32"/>
        </w:rPr>
        <w:t>元。</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境内幕阜山绿色产业带（通城县、崇阳县、通山县）地区生产总值</w:t>
      </w:r>
      <w:r>
        <w:rPr>
          <w:rFonts w:ascii="仿宋_GB2312" w:eastAsia="仿宋_GB2312" w:hAnsi="仿宋_GB2312" w:cs="仿宋_GB2312" w:hint="eastAsia"/>
          <w:sz w:val="32"/>
          <w:szCs w:val="32"/>
        </w:rPr>
        <w:t>555.51</w:t>
      </w:r>
      <w:r>
        <w:rPr>
          <w:rFonts w:ascii="仿宋_GB2312" w:eastAsia="仿宋_GB2312" w:hAnsi="仿宋_GB2312" w:cs="仿宋_GB2312" w:hint="eastAsia"/>
          <w:sz w:val="32"/>
          <w:szCs w:val="32"/>
        </w:rPr>
        <w:t>亿元，比上年</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境内长江经济带地区（咸安区、嘉鱼县、赤壁市）生产总值</w:t>
      </w:r>
      <w:r>
        <w:rPr>
          <w:rFonts w:ascii="仿宋_GB2312" w:eastAsia="仿宋_GB2312" w:hAnsi="仿宋_GB2312" w:cs="仿宋_GB2312" w:hint="eastAsia"/>
          <w:sz w:val="32"/>
          <w:szCs w:val="32"/>
        </w:rPr>
        <w:t>1263.73</w:t>
      </w:r>
      <w:r>
        <w:rPr>
          <w:rFonts w:ascii="仿宋_GB2312" w:eastAsia="仿宋_GB2312" w:hAnsi="仿宋_GB2312" w:cs="仿宋_GB2312" w:hint="eastAsia"/>
          <w:sz w:val="32"/>
          <w:szCs w:val="32"/>
        </w:rPr>
        <w:t>亿元，比上年</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00752" w:rsidRDefault="005F7F5E">
      <w:pPr>
        <w:pStyle w:val="Default"/>
        <w:jc w:val="center"/>
        <w:rPr>
          <w:rFonts w:ascii="Times New Roman" w:eastAsia="黑体" w:hAnsi="Times New Roman" w:cs="黑体"/>
          <w:sz w:val="28"/>
          <w:szCs w:val="28"/>
        </w:rPr>
      </w:pPr>
      <w:r>
        <w:rPr>
          <w:rFonts w:ascii="黑体" w:eastAsia="黑体" w:hAnsi="黑体" w:cs="黑体" w:hint="eastAsia"/>
          <w:sz w:val="28"/>
          <w:szCs w:val="28"/>
        </w:rPr>
        <w:t>图</w:t>
      </w:r>
      <w:r>
        <w:rPr>
          <w:rFonts w:ascii="黑体" w:eastAsia="黑体" w:hAnsi="黑体" w:cs="黑体" w:hint="eastAsia"/>
          <w:sz w:val="28"/>
          <w:szCs w:val="28"/>
        </w:rPr>
        <w:t xml:space="preserve">1  </w:t>
      </w:r>
      <w:r>
        <w:rPr>
          <w:rFonts w:ascii="黑体" w:eastAsia="黑体" w:hAnsi="黑体" w:cs="黑体" w:hint="eastAsia"/>
          <w:sz w:val="28"/>
          <w:szCs w:val="28"/>
        </w:rPr>
        <w:t>201</w:t>
      </w:r>
      <w:r>
        <w:rPr>
          <w:rFonts w:ascii="黑体" w:eastAsia="黑体" w:hAnsi="黑体" w:cs="黑体" w:hint="eastAsia"/>
          <w:sz w:val="28"/>
          <w:szCs w:val="28"/>
        </w:rPr>
        <w:t>9</w:t>
      </w:r>
      <w:r>
        <w:rPr>
          <w:rFonts w:ascii="黑体" w:eastAsia="黑体" w:hAnsi="黑体" w:cs="黑体" w:hint="eastAsia"/>
          <w:sz w:val="28"/>
          <w:szCs w:val="28"/>
        </w:rPr>
        <w:t>-202</w:t>
      </w:r>
      <w:r>
        <w:rPr>
          <w:rFonts w:ascii="黑体" w:eastAsia="黑体" w:hAnsi="黑体" w:cs="黑体" w:hint="eastAsia"/>
          <w:sz w:val="28"/>
          <w:szCs w:val="28"/>
        </w:rPr>
        <w:t>3</w:t>
      </w:r>
      <w:r>
        <w:rPr>
          <w:rFonts w:ascii="黑体" w:eastAsia="黑体" w:hAnsi="黑体" w:cs="黑体" w:hint="eastAsia"/>
          <w:sz w:val="28"/>
          <w:szCs w:val="28"/>
        </w:rPr>
        <w:t>年全市生产总值及其增速</w:t>
      </w:r>
    </w:p>
    <w:p w:rsidR="00B00752" w:rsidRDefault="005F7F5E">
      <w:pPr>
        <w:pStyle w:val="Default"/>
        <w:jc w:val="center"/>
        <w:rPr>
          <w:rFonts w:ascii="Times New Roman" w:hAnsi="Times New Roman"/>
        </w:rPr>
      </w:pPr>
      <w:r>
        <w:rPr>
          <w:rFonts w:ascii="Times New Roman" w:hAnsi="Times New Roman"/>
          <w:noProof/>
        </w:rPr>
        <w:lastRenderedPageBreak/>
        <w:drawing>
          <wp:inline distT="0" distB="0" distL="114300" distR="114300">
            <wp:extent cx="5544185" cy="3900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44185" cy="3900805"/>
                    </a:xfrm>
                    <a:prstGeom prst="rect">
                      <a:avLst/>
                    </a:prstGeom>
                    <a:noFill/>
                    <a:ln>
                      <a:noFill/>
                    </a:ln>
                  </pic:spPr>
                </pic:pic>
              </a:graphicData>
            </a:graphic>
          </wp:inline>
        </w:drawing>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全年居民消费价格比上年上涨</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。分类别看，八大类商品“五涨三降”。其中，其他用品及服务、教育文化娱乐、衣着、生活用品及服务、食品烟酒分别上涨</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w:t>
      </w:r>
      <w:r>
        <w:rPr>
          <w:rFonts w:ascii="仿宋_GB2312" w:eastAsia="仿宋_GB2312" w:hAnsi="仿宋_GB2312" w:cs="仿宋_GB2312" w:hint="eastAsia"/>
          <w:sz w:val="32"/>
          <w:szCs w:val="32"/>
        </w:rPr>
        <w:t>，交通通信、居住、医疗保健分别下降</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w:t>
      </w:r>
      <w:r>
        <w:rPr>
          <w:rFonts w:ascii="仿宋_GB2312" w:eastAsia="仿宋_GB2312" w:hAnsi="仿宋_GB2312" w:cs="仿宋_GB2312" w:hint="eastAsia"/>
          <w:sz w:val="32"/>
          <w:szCs w:val="32"/>
        </w:rPr>
        <w:t>。服务项目价格指数上涨</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年末各类市场主体</w:t>
      </w:r>
      <w:r>
        <w:rPr>
          <w:rFonts w:ascii="仿宋_GB2312" w:eastAsia="仿宋_GB2312" w:hAnsi="仿宋_GB2312" w:cs="仿宋_GB2312" w:hint="eastAsia"/>
          <w:sz w:val="32"/>
          <w:szCs w:val="32"/>
        </w:rPr>
        <w:t>36.05</w:t>
      </w:r>
      <w:r>
        <w:rPr>
          <w:rFonts w:ascii="仿宋_GB2312" w:eastAsia="仿宋_GB2312" w:hAnsi="仿宋_GB2312" w:cs="仿宋_GB2312" w:hint="eastAsia"/>
          <w:sz w:val="32"/>
          <w:szCs w:val="32"/>
        </w:rPr>
        <w:t>万户，比上年增长</w:t>
      </w:r>
      <w:r>
        <w:rPr>
          <w:rFonts w:ascii="仿宋_GB2312" w:eastAsia="仿宋_GB2312" w:hAnsi="仿宋_GB2312" w:cs="仿宋_GB2312" w:hint="eastAsia"/>
          <w:sz w:val="32"/>
          <w:szCs w:val="32"/>
        </w:rPr>
        <w:t>6.1%</w:t>
      </w:r>
      <w:r>
        <w:rPr>
          <w:rFonts w:ascii="仿宋_GB2312" w:eastAsia="仿宋_GB2312" w:hAnsi="仿宋_GB2312" w:cs="仿宋_GB2312" w:hint="eastAsia"/>
          <w:sz w:val="32"/>
          <w:szCs w:val="32"/>
        </w:rPr>
        <w:t>。其中，企业类市场主体</w:t>
      </w:r>
      <w:r>
        <w:rPr>
          <w:rFonts w:ascii="仿宋_GB2312" w:eastAsia="仿宋_GB2312" w:hAnsi="仿宋_GB2312" w:cs="仿宋_GB2312" w:hint="eastAsia"/>
          <w:sz w:val="32"/>
          <w:szCs w:val="32"/>
        </w:rPr>
        <w:t>7.58</w:t>
      </w:r>
      <w:r>
        <w:rPr>
          <w:rFonts w:ascii="仿宋_GB2312" w:eastAsia="仿宋_GB2312" w:hAnsi="仿宋_GB2312" w:cs="仿宋_GB2312" w:hint="eastAsia"/>
          <w:sz w:val="32"/>
          <w:szCs w:val="32"/>
        </w:rPr>
        <w:t>万户，增长</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。全年新登记市场主体</w:t>
      </w:r>
      <w:r>
        <w:rPr>
          <w:rFonts w:ascii="仿宋_GB2312" w:eastAsia="仿宋_GB2312" w:hAnsi="仿宋_GB2312" w:cs="仿宋_GB2312" w:hint="eastAsia"/>
          <w:sz w:val="32"/>
          <w:szCs w:val="32"/>
        </w:rPr>
        <w:t>4.83</w:t>
      </w:r>
      <w:r>
        <w:rPr>
          <w:rFonts w:ascii="仿宋_GB2312" w:eastAsia="仿宋_GB2312" w:hAnsi="仿宋_GB2312" w:cs="仿宋_GB2312" w:hint="eastAsia"/>
          <w:sz w:val="32"/>
          <w:szCs w:val="32"/>
        </w:rPr>
        <w:t>万户。</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全年城镇新增就业人员</w:t>
      </w:r>
      <w:r>
        <w:rPr>
          <w:rFonts w:ascii="仿宋_GB2312" w:eastAsia="仿宋_GB2312" w:hAnsi="仿宋_GB2312" w:cs="仿宋_GB2312" w:hint="eastAsia"/>
          <w:sz w:val="32"/>
          <w:szCs w:val="32"/>
        </w:rPr>
        <w:t>4.93</w:t>
      </w:r>
      <w:r>
        <w:rPr>
          <w:rFonts w:ascii="仿宋_GB2312" w:eastAsia="仿宋_GB2312" w:hAnsi="仿宋_GB2312" w:cs="仿宋_GB2312" w:hint="eastAsia"/>
          <w:sz w:val="32"/>
          <w:szCs w:val="32"/>
        </w:rPr>
        <w:t>万人，比上年增加</w:t>
      </w:r>
      <w:r>
        <w:rPr>
          <w:rFonts w:ascii="仿宋_GB2312" w:eastAsia="仿宋_GB2312" w:hAnsi="仿宋_GB2312" w:cs="仿宋_GB2312" w:hint="eastAsia"/>
          <w:sz w:val="32"/>
          <w:szCs w:val="32"/>
        </w:rPr>
        <w:t>0.67</w:t>
      </w:r>
      <w:r>
        <w:rPr>
          <w:rFonts w:ascii="仿宋_GB2312" w:eastAsia="仿宋_GB2312" w:hAnsi="仿宋_GB2312" w:cs="仿宋_GB2312" w:hint="eastAsia"/>
          <w:sz w:val="32"/>
          <w:szCs w:val="32"/>
        </w:rPr>
        <w:t>万人。城镇</w:t>
      </w:r>
      <w:r>
        <w:rPr>
          <w:rFonts w:ascii="仿宋_GB2312" w:eastAsia="仿宋_GB2312" w:hAnsi="仿宋_GB2312" w:cs="仿宋_GB2312" w:hint="eastAsia"/>
          <w:sz w:val="32"/>
          <w:szCs w:val="32"/>
        </w:rPr>
        <w:t>登记失业率</w:t>
      </w:r>
      <w:r>
        <w:rPr>
          <w:rFonts w:ascii="仿宋_GB2312" w:eastAsia="仿宋_GB2312" w:hAnsi="仿宋_GB2312" w:cs="仿宋_GB2312" w:hint="eastAsia"/>
          <w:sz w:val="32"/>
          <w:szCs w:val="32"/>
        </w:rPr>
        <w:t>2.32%</w:t>
      </w:r>
      <w:r>
        <w:rPr>
          <w:rFonts w:ascii="仿宋_GB2312" w:eastAsia="仿宋_GB2312" w:hAnsi="仿宋_GB2312" w:cs="仿宋_GB2312" w:hint="eastAsia"/>
          <w:sz w:val="32"/>
          <w:szCs w:val="32"/>
        </w:rPr>
        <w:t>，比上年末降低</w:t>
      </w:r>
      <w:r>
        <w:rPr>
          <w:rFonts w:ascii="仿宋_GB2312" w:eastAsia="仿宋_GB2312" w:hAnsi="仿宋_GB2312" w:cs="仿宋_GB2312" w:hint="eastAsia"/>
          <w:sz w:val="32"/>
          <w:szCs w:val="32"/>
        </w:rPr>
        <w:t>0.55</w:t>
      </w:r>
      <w:r>
        <w:rPr>
          <w:rFonts w:ascii="仿宋_GB2312" w:eastAsia="仿宋_GB2312" w:hAnsi="仿宋_GB2312" w:cs="仿宋_GB2312" w:hint="eastAsia"/>
          <w:sz w:val="32"/>
          <w:szCs w:val="32"/>
        </w:rPr>
        <w:t>个百分点。</w:t>
      </w:r>
    </w:p>
    <w:p w:rsidR="00B00752" w:rsidRDefault="005F7F5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二、农业</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全年农林牧渔业增加值</w:t>
      </w:r>
      <w:r>
        <w:rPr>
          <w:rFonts w:ascii="仿宋_GB2312" w:eastAsia="仿宋_GB2312" w:hAnsi="仿宋_GB2312" w:cs="仿宋_GB2312" w:hint="eastAsia"/>
          <w:sz w:val="32"/>
          <w:szCs w:val="32"/>
        </w:rPr>
        <w:t>276.36</w:t>
      </w:r>
      <w:r>
        <w:rPr>
          <w:rFonts w:ascii="仿宋_GB2312" w:eastAsia="仿宋_GB2312" w:hAnsi="仿宋_GB2312" w:cs="仿宋_GB2312" w:hint="eastAsia"/>
          <w:sz w:val="32"/>
          <w:szCs w:val="32"/>
        </w:rPr>
        <w:t>亿元，比上年增长</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全年农作物播种面积</w:t>
      </w:r>
      <w:r>
        <w:rPr>
          <w:rFonts w:ascii="仿宋_GB2312" w:eastAsia="仿宋_GB2312" w:hAnsi="仿宋_GB2312" w:cs="仿宋_GB2312" w:hint="eastAsia"/>
          <w:sz w:val="32"/>
          <w:szCs w:val="32"/>
        </w:rPr>
        <w:t>452.99</w:t>
      </w:r>
      <w:r>
        <w:rPr>
          <w:rFonts w:ascii="仿宋_GB2312" w:eastAsia="仿宋_GB2312" w:hAnsi="仿宋_GB2312" w:cs="仿宋_GB2312" w:hint="eastAsia"/>
          <w:sz w:val="32"/>
          <w:szCs w:val="32"/>
        </w:rPr>
        <w:t>千公顷，增长</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。其中，粮食作物面积</w:t>
      </w:r>
      <w:r>
        <w:rPr>
          <w:rFonts w:ascii="仿宋_GB2312" w:eastAsia="仿宋_GB2312" w:hAnsi="仿宋_GB2312" w:cs="仿宋_GB2312" w:hint="eastAsia"/>
          <w:sz w:val="32"/>
          <w:szCs w:val="32"/>
        </w:rPr>
        <w:t>198.94</w:t>
      </w:r>
      <w:r>
        <w:rPr>
          <w:rFonts w:ascii="仿宋_GB2312" w:eastAsia="仿宋_GB2312" w:hAnsi="仿宋_GB2312" w:cs="仿宋_GB2312" w:hint="eastAsia"/>
          <w:sz w:val="32"/>
          <w:szCs w:val="32"/>
        </w:rPr>
        <w:t>千公顷，增长</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；经济作物面积</w:t>
      </w:r>
      <w:r>
        <w:rPr>
          <w:rFonts w:ascii="仿宋_GB2312" w:eastAsia="仿宋_GB2312" w:hAnsi="仿宋_GB2312" w:cs="仿宋_GB2312" w:hint="eastAsia"/>
          <w:sz w:val="32"/>
          <w:szCs w:val="32"/>
        </w:rPr>
        <w:t>254.04</w:t>
      </w:r>
      <w:r>
        <w:rPr>
          <w:rFonts w:ascii="仿宋_GB2312" w:eastAsia="仿宋_GB2312" w:hAnsi="仿宋_GB2312" w:cs="仿宋_GB2312" w:hint="eastAsia"/>
          <w:sz w:val="32"/>
          <w:szCs w:val="32"/>
        </w:rPr>
        <w:t>千公顷，增长</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。经济作物中，油菜籽面积</w:t>
      </w:r>
      <w:r>
        <w:rPr>
          <w:rFonts w:ascii="仿宋_GB2312" w:eastAsia="仿宋_GB2312" w:hAnsi="仿宋_GB2312" w:cs="仿宋_GB2312" w:hint="eastAsia"/>
          <w:sz w:val="32"/>
          <w:szCs w:val="32"/>
        </w:rPr>
        <w:t>95.21</w:t>
      </w:r>
      <w:r>
        <w:rPr>
          <w:rFonts w:ascii="仿宋_GB2312" w:eastAsia="仿宋_GB2312" w:hAnsi="仿宋_GB2312" w:cs="仿宋_GB2312" w:hint="eastAsia"/>
          <w:sz w:val="32"/>
          <w:szCs w:val="32"/>
        </w:rPr>
        <w:t>千公顷，增长</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；年末茶园面积</w:t>
      </w:r>
      <w:r>
        <w:rPr>
          <w:rFonts w:ascii="仿宋_GB2312" w:eastAsia="仿宋_GB2312" w:hAnsi="仿宋_GB2312" w:cs="仿宋_GB2312" w:hint="eastAsia"/>
          <w:sz w:val="32"/>
          <w:szCs w:val="32"/>
        </w:rPr>
        <w:t>35.42</w:t>
      </w:r>
      <w:r>
        <w:rPr>
          <w:rFonts w:ascii="仿宋_GB2312" w:eastAsia="仿宋_GB2312" w:hAnsi="仿宋_GB2312" w:cs="仿宋_GB2312" w:hint="eastAsia"/>
          <w:sz w:val="32"/>
          <w:szCs w:val="32"/>
        </w:rPr>
        <w:t>千公顷，增长</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；中药材面积</w:t>
      </w:r>
      <w:r>
        <w:rPr>
          <w:rFonts w:ascii="仿宋_GB2312" w:eastAsia="仿宋_GB2312" w:hAnsi="仿宋_GB2312" w:cs="仿宋_GB2312" w:hint="eastAsia"/>
          <w:sz w:val="32"/>
          <w:szCs w:val="32"/>
        </w:rPr>
        <w:t>17.05</w:t>
      </w:r>
      <w:r>
        <w:rPr>
          <w:rFonts w:ascii="仿宋_GB2312" w:eastAsia="仿宋_GB2312" w:hAnsi="仿宋_GB2312" w:cs="仿宋_GB2312" w:hint="eastAsia"/>
          <w:sz w:val="32"/>
          <w:szCs w:val="32"/>
        </w:rPr>
        <w:t>千公顷，下降</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；蔬菜及食用菌面积</w:t>
      </w:r>
      <w:r>
        <w:rPr>
          <w:rFonts w:ascii="仿宋_GB2312" w:eastAsia="仿宋_GB2312" w:hAnsi="仿宋_GB2312" w:cs="仿宋_GB2312" w:hint="eastAsia"/>
          <w:sz w:val="32"/>
          <w:szCs w:val="32"/>
        </w:rPr>
        <w:t>98.09</w:t>
      </w:r>
      <w:r>
        <w:rPr>
          <w:rFonts w:ascii="仿宋_GB2312" w:eastAsia="仿宋_GB2312" w:hAnsi="仿宋_GB2312" w:cs="仿宋_GB2312" w:hint="eastAsia"/>
          <w:sz w:val="32"/>
          <w:szCs w:val="32"/>
        </w:rPr>
        <w:t>千公顷，增长</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全年粮食产量</w:t>
      </w:r>
      <w:r>
        <w:rPr>
          <w:rFonts w:ascii="仿宋_GB2312" w:eastAsia="仿宋_GB2312" w:hAnsi="仿宋_GB2312" w:cs="仿宋_GB2312" w:hint="eastAsia"/>
          <w:sz w:val="32"/>
          <w:szCs w:val="32"/>
        </w:rPr>
        <w:t>120.82</w:t>
      </w:r>
      <w:r>
        <w:rPr>
          <w:rFonts w:ascii="仿宋_GB2312" w:eastAsia="仿宋_GB2312" w:hAnsi="仿宋_GB2312" w:cs="仿宋_GB2312" w:hint="eastAsia"/>
          <w:sz w:val="32"/>
          <w:szCs w:val="32"/>
        </w:rPr>
        <w:t>万吨，比上年增长</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其中，夏粮</w:t>
      </w:r>
      <w:r>
        <w:rPr>
          <w:rFonts w:ascii="仿宋_GB2312" w:eastAsia="仿宋_GB2312" w:hAnsi="仿宋_GB2312" w:cs="仿宋_GB2312" w:hint="eastAsia"/>
          <w:sz w:val="32"/>
          <w:szCs w:val="32"/>
        </w:rPr>
        <w:t>3.95</w:t>
      </w:r>
      <w:r>
        <w:rPr>
          <w:rFonts w:ascii="仿宋_GB2312" w:eastAsia="仿宋_GB2312" w:hAnsi="仿宋_GB2312" w:cs="仿宋_GB2312" w:hint="eastAsia"/>
          <w:sz w:val="32"/>
          <w:szCs w:val="32"/>
        </w:rPr>
        <w:t>万吨，早稻</w:t>
      </w:r>
      <w:r>
        <w:rPr>
          <w:rFonts w:ascii="仿宋_GB2312" w:eastAsia="仿宋_GB2312" w:hAnsi="仿宋_GB2312" w:cs="仿宋_GB2312" w:hint="eastAsia"/>
          <w:sz w:val="32"/>
          <w:szCs w:val="32"/>
        </w:rPr>
        <w:t>14.67</w:t>
      </w:r>
      <w:r>
        <w:rPr>
          <w:rFonts w:ascii="仿宋_GB2312" w:eastAsia="仿宋_GB2312" w:hAnsi="仿宋_GB2312" w:cs="仿宋_GB2312" w:hint="eastAsia"/>
          <w:sz w:val="32"/>
          <w:szCs w:val="32"/>
        </w:rPr>
        <w:t>万吨，秋粮</w:t>
      </w:r>
      <w:r>
        <w:rPr>
          <w:rFonts w:ascii="仿宋_GB2312" w:eastAsia="仿宋_GB2312" w:hAnsi="仿宋_GB2312" w:cs="仿宋_GB2312" w:hint="eastAsia"/>
          <w:sz w:val="32"/>
          <w:szCs w:val="32"/>
        </w:rPr>
        <w:t>102.21</w:t>
      </w:r>
      <w:r>
        <w:rPr>
          <w:rFonts w:ascii="仿宋_GB2312" w:eastAsia="仿宋_GB2312" w:hAnsi="仿宋_GB2312" w:cs="仿宋_GB2312" w:hint="eastAsia"/>
          <w:sz w:val="32"/>
          <w:szCs w:val="32"/>
        </w:rPr>
        <w:t>万吨。</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全年蔬菜及食用菌产量</w:t>
      </w:r>
      <w:r>
        <w:rPr>
          <w:rFonts w:ascii="仿宋_GB2312" w:eastAsia="仿宋_GB2312" w:hAnsi="仿宋_GB2312" w:cs="仿宋_GB2312" w:hint="eastAsia"/>
          <w:sz w:val="32"/>
          <w:szCs w:val="32"/>
        </w:rPr>
        <w:t>261.91</w:t>
      </w:r>
      <w:r>
        <w:rPr>
          <w:rFonts w:ascii="仿宋_GB2312" w:eastAsia="仿宋_GB2312" w:hAnsi="仿宋_GB2312" w:cs="仿宋_GB2312" w:hint="eastAsia"/>
          <w:sz w:val="32"/>
          <w:szCs w:val="32"/>
        </w:rPr>
        <w:t>万吨，比上年增长</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；油料产量</w:t>
      </w:r>
      <w:r>
        <w:rPr>
          <w:rFonts w:ascii="仿宋_GB2312" w:eastAsia="仿宋_GB2312" w:hAnsi="仿宋_GB2312" w:cs="仿宋_GB2312" w:hint="eastAsia"/>
          <w:sz w:val="32"/>
          <w:szCs w:val="32"/>
        </w:rPr>
        <w:t>20.32</w:t>
      </w:r>
      <w:r>
        <w:rPr>
          <w:rFonts w:ascii="仿宋_GB2312" w:eastAsia="仿宋_GB2312" w:hAnsi="仿宋_GB2312" w:cs="仿宋_GB2312" w:hint="eastAsia"/>
          <w:sz w:val="32"/>
          <w:szCs w:val="32"/>
        </w:rPr>
        <w:t>万吨，下降</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茶叶产量</w:t>
      </w:r>
      <w:r>
        <w:rPr>
          <w:rFonts w:ascii="仿宋_GB2312" w:eastAsia="仿宋_GB2312" w:hAnsi="仿宋_GB2312" w:cs="仿宋_GB2312" w:hint="eastAsia"/>
          <w:sz w:val="32"/>
          <w:szCs w:val="32"/>
        </w:rPr>
        <w:t>9.43</w:t>
      </w:r>
      <w:r>
        <w:rPr>
          <w:rFonts w:ascii="仿宋_GB2312" w:eastAsia="仿宋_GB2312" w:hAnsi="仿宋_GB2312" w:cs="仿宋_GB2312" w:hint="eastAsia"/>
          <w:sz w:val="32"/>
          <w:szCs w:val="32"/>
        </w:rPr>
        <w:t>万吨，增长</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；油茶籽产量</w:t>
      </w:r>
      <w:r>
        <w:rPr>
          <w:rFonts w:ascii="仿宋_GB2312" w:eastAsia="仿宋_GB2312" w:hAnsi="仿宋_GB2312" w:cs="仿宋_GB2312" w:hint="eastAsia"/>
          <w:sz w:val="32"/>
          <w:szCs w:val="32"/>
        </w:rPr>
        <w:t>8.88</w:t>
      </w:r>
      <w:r>
        <w:rPr>
          <w:rFonts w:ascii="仿宋_GB2312" w:eastAsia="仿宋_GB2312" w:hAnsi="仿宋_GB2312" w:cs="仿宋_GB2312" w:hint="eastAsia"/>
          <w:sz w:val="32"/>
          <w:szCs w:val="32"/>
        </w:rPr>
        <w:t>万吨，增长</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w:t>
      </w:r>
    </w:p>
    <w:p w:rsidR="00B00752" w:rsidRDefault="005F7F5E">
      <w:pPr>
        <w:pStyle w:val="Default"/>
        <w:jc w:val="center"/>
        <w:rPr>
          <w:rFonts w:ascii="Times New Roman" w:eastAsia="黑体" w:hAnsi="Times New Roman" w:cs="黑体"/>
          <w:sz w:val="28"/>
          <w:szCs w:val="28"/>
        </w:rPr>
      </w:pPr>
      <w:r>
        <w:rPr>
          <w:rFonts w:ascii="黑体" w:eastAsia="黑体" w:hAnsi="黑体" w:cs="黑体" w:hint="eastAsia"/>
          <w:sz w:val="28"/>
          <w:szCs w:val="28"/>
        </w:rPr>
        <w:t>图</w:t>
      </w:r>
      <w:r>
        <w:rPr>
          <w:rFonts w:ascii="黑体" w:eastAsia="黑体" w:hAnsi="黑体" w:cs="黑体" w:hint="eastAsia"/>
          <w:sz w:val="28"/>
          <w:szCs w:val="28"/>
        </w:rPr>
        <w:t>2  201</w:t>
      </w:r>
      <w:r>
        <w:rPr>
          <w:rFonts w:ascii="黑体" w:eastAsia="黑体" w:hAnsi="黑体" w:cs="黑体" w:hint="eastAsia"/>
          <w:sz w:val="28"/>
          <w:szCs w:val="28"/>
        </w:rPr>
        <w:t>9</w:t>
      </w:r>
      <w:r>
        <w:rPr>
          <w:rFonts w:ascii="黑体" w:eastAsia="黑体" w:hAnsi="黑体" w:cs="黑体" w:hint="eastAsia"/>
          <w:sz w:val="28"/>
          <w:szCs w:val="28"/>
        </w:rPr>
        <w:t>-20</w:t>
      </w:r>
      <w:r>
        <w:rPr>
          <w:rFonts w:ascii="黑体" w:eastAsia="黑体" w:hAnsi="黑体" w:cs="黑体" w:hint="eastAsia"/>
          <w:sz w:val="28"/>
          <w:szCs w:val="28"/>
        </w:rPr>
        <w:t>23</w:t>
      </w:r>
      <w:r>
        <w:rPr>
          <w:rFonts w:ascii="黑体" w:eastAsia="黑体" w:hAnsi="黑体" w:cs="黑体" w:hint="eastAsia"/>
          <w:sz w:val="28"/>
          <w:szCs w:val="28"/>
        </w:rPr>
        <w:t>年全市粮食产量</w:t>
      </w:r>
    </w:p>
    <w:p w:rsidR="00B00752" w:rsidRDefault="005F7F5E">
      <w:pPr>
        <w:pStyle w:val="5"/>
        <w:jc w:val="center"/>
      </w:pPr>
      <w:r>
        <w:rPr>
          <w:noProof/>
        </w:rPr>
        <w:drawing>
          <wp:inline distT="0" distB="0" distL="114300" distR="114300">
            <wp:extent cx="5539105" cy="3076575"/>
            <wp:effectExtent l="0" t="0" r="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全年猪牛羊禽肉总产量</w:t>
      </w:r>
      <w:r>
        <w:rPr>
          <w:rFonts w:ascii="仿宋_GB2312" w:eastAsia="仿宋_GB2312" w:hAnsi="仿宋_GB2312" w:cs="仿宋_GB2312" w:hint="eastAsia"/>
          <w:sz w:val="32"/>
          <w:szCs w:val="32"/>
        </w:rPr>
        <w:t>24.72</w:t>
      </w:r>
      <w:r>
        <w:rPr>
          <w:rFonts w:ascii="仿宋_GB2312" w:eastAsia="仿宋_GB2312" w:hAnsi="仿宋_GB2312" w:cs="仿宋_GB2312" w:hint="eastAsia"/>
          <w:sz w:val="32"/>
          <w:szCs w:val="32"/>
        </w:rPr>
        <w:t>万吨，比上年增长</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。其中，猪肉产量</w:t>
      </w:r>
      <w:r>
        <w:rPr>
          <w:rFonts w:ascii="仿宋_GB2312" w:eastAsia="仿宋_GB2312" w:hAnsi="仿宋_GB2312" w:cs="仿宋_GB2312" w:hint="eastAsia"/>
          <w:sz w:val="32"/>
          <w:szCs w:val="32"/>
        </w:rPr>
        <w:t>19.42</w:t>
      </w:r>
      <w:r>
        <w:rPr>
          <w:rFonts w:ascii="仿宋_GB2312" w:eastAsia="仿宋_GB2312" w:hAnsi="仿宋_GB2312" w:cs="仿宋_GB2312" w:hint="eastAsia"/>
          <w:sz w:val="32"/>
          <w:szCs w:val="32"/>
        </w:rPr>
        <w:t>万吨，增长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；牛肉产量</w:t>
      </w:r>
      <w:r>
        <w:rPr>
          <w:rFonts w:ascii="仿宋_GB2312" w:eastAsia="仿宋_GB2312" w:hAnsi="仿宋_GB2312" w:cs="仿宋_GB2312" w:hint="eastAsia"/>
          <w:sz w:val="32"/>
          <w:szCs w:val="32"/>
        </w:rPr>
        <w:t>0.28</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lastRenderedPageBreak/>
        <w:t>增长</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；羊肉产量</w:t>
      </w:r>
      <w:r>
        <w:rPr>
          <w:rFonts w:ascii="仿宋_GB2312" w:eastAsia="仿宋_GB2312" w:hAnsi="仿宋_GB2312" w:cs="仿宋_GB2312" w:hint="eastAsia"/>
          <w:sz w:val="32"/>
          <w:szCs w:val="32"/>
        </w:rPr>
        <w:t>0.36</w:t>
      </w:r>
      <w:r>
        <w:rPr>
          <w:rFonts w:ascii="仿宋_GB2312" w:eastAsia="仿宋_GB2312" w:hAnsi="仿宋_GB2312" w:cs="仿宋_GB2312" w:hint="eastAsia"/>
          <w:sz w:val="32"/>
          <w:szCs w:val="32"/>
        </w:rPr>
        <w:t>万吨，</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；禽肉产量</w:t>
      </w:r>
      <w:r>
        <w:rPr>
          <w:rFonts w:ascii="仿宋_GB2312" w:eastAsia="仿宋_GB2312" w:hAnsi="仿宋_GB2312" w:cs="仿宋_GB2312" w:hint="eastAsia"/>
          <w:sz w:val="32"/>
          <w:szCs w:val="32"/>
        </w:rPr>
        <w:t>4.66</w:t>
      </w:r>
      <w:r>
        <w:rPr>
          <w:rFonts w:ascii="仿宋_GB2312" w:eastAsia="仿宋_GB2312" w:hAnsi="仿宋_GB2312" w:cs="仿宋_GB2312" w:hint="eastAsia"/>
          <w:sz w:val="32"/>
          <w:szCs w:val="32"/>
        </w:rPr>
        <w:t>万吨，增长</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。禽蛋产量</w:t>
      </w:r>
      <w:r>
        <w:rPr>
          <w:rFonts w:ascii="仿宋_GB2312" w:eastAsia="仿宋_GB2312" w:hAnsi="仿宋_GB2312" w:cs="仿宋_GB2312" w:hint="eastAsia"/>
          <w:sz w:val="32"/>
          <w:szCs w:val="32"/>
        </w:rPr>
        <w:t>6.30</w:t>
      </w:r>
      <w:r>
        <w:rPr>
          <w:rFonts w:ascii="仿宋_GB2312" w:eastAsia="仿宋_GB2312" w:hAnsi="仿宋_GB2312" w:cs="仿宋_GB2312" w:hint="eastAsia"/>
          <w:sz w:val="32"/>
          <w:szCs w:val="32"/>
        </w:rPr>
        <w:t>万吨，增长</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。全年生猪出栏</w:t>
      </w:r>
      <w:r>
        <w:rPr>
          <w:rFonts w:ascii="仿宋_GB2312" w:eastAsia="仿宋_GB2312" w:hAnsi="仿宋_GB2312" w:cs="仿宋_GB2312" w:hint="eastAsia"/>
          <w:sz w:val="32"/>
          <w:szCs w:val="32"/>
        </w:rPr>
        <w:t>248.71</w:t>
      </w:r>
      <w:r>
        <w:rPr>
          <w:rFonts w:ascii="仿宋_GB2312" w:eastAsia="仿宋_GB2312" w:hAnsi="仿宋_GB2312" w:cs="仿宋_GB2312" w:hint="eastAsia"/>
          <w:sz w:val="32"/>
          <w:szCs w:val="32"/>
        </w:rPr>
        <w:t>万头，增长</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；家禽出笼</w:t>
      </w:r>
      <w:r>
        <w:rPr>
          <w:rFonts w:ascii="仿宋_GB2312" w:eastAsia="仿宋_GB2312" w:hAnsi="仿宋_GB2312" w:cs="仿宋_GB2312" w:hint="eastAsia"/>
          <w:sz w:val="32"/>
          <w:szCs w:val="32"/>
        </w:rPr>
        <w:t>3495.08</w:t>
      </w:r>
      <w:r>
        <w:rPr>
          <w:rFonts w:ascii="仿宋_GB2312" w:eastAsia="仿宋_GB2312" w:hAnsi="仿宋_GB2312" w:cs="仿宋_GB2312" w:hint="eastAsia"/>
          <w:sz w:val="32"/>
          <w:szCs w:val="32"/>
        </w:rPr>
        <w:t>万只，增长</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全年水产品产量</w:t>
      </w:r>
      <w:r>
        <w:rPr>
          <w:rFonts w:ascii="仿宋_GB2312" w:eastAsia="仿宋_GB2312" w:hAnsi="仿宋_GB2312" w:cs="仿宋_GB2312" w:hint="eastAsia"/>
          <w:sz w:val="32"/>
          <w:szCs w:val="32"/>
        </w:rPr>
        <w:t>25.34</w:t>
      </w:r>
      <w:r>
        <w:rPr>
          <w:rFonts w:ascii="仿宋_GB2312" w:eastAsia="仿宋_GB2312" w:hAnsi="仿宋_GB2312" w:cs="仿宋_GB2312" w:hint="eastAsia"/>
          <w:sz w:val="32"/>
          <w:szCs w:val="32"/>
        </w:rPr>
        <w:t>万吨，比上年增长</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三、工业和建筑业</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全年全部工业增加值</w:t>
      </w:r>
      <w:r>
        <w:rPr>
          <w:rFonts w:ascii="仿宋_GB2312" w:eastAsia="仿宋_GB2312" w:hAnsi="仿宋_GB2312" w:cs="仿宋_GB2312" w:hint="eastAsia"/>
          <w:sz w:val="32"/>
          <w:szCs w:val="32"/>
        </w:rPr>
        <w:t>492.49</w:t>
      </w:r>
      <w:r>
        <w:rPr>
          <w:rFonts w:ascii="仿宋_GB2312" w:eastAsia="仿宋_GB2312" w:hAnsi="仿宋_GB2312" w:cs="仿宋_GB2312" w:hint="eastAsia"/>
          <w:sz w:val="32"/>
          <w:szCs w:val="32"/>
        </w:rPr>
        <w:t>亿元，年末规模以上工业企业达到</w:t>
      </w:r>
      <w:r>
        <w:rPr>
          <w:rFonts w:ascii="仿宋_GB2312" w:eastAsia="仿宋_GB2312" w:hAnsi="仿宋_GB2312" w:cs="仿宋_GB2312" w:hint="eastAsia"/>
          <w:sz w:val="32"/>
          <w:szCs w:val="32"/>
        </w:rPr>
        <w:t>1067</w:t>
      </w:r>
      <w:r>
        <w:rPr>
          <w:rFonts w:ascii="仿宋_GB2312" w:eastAsia="仿宋_GB2312" w:hAnsi="仿宋_GB2312" w:cs="仿宋_GB2312" w:hint="eastAsia"/>
          <w:sz w:val="32"/>
          <w:szCs w:val="32"/>
        </w:rPr>
        <w:t>家，比上年净增</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家。</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全年规模以上工业企业产销率为</w:t>
      </w:r>
      <w:r>
        <w:rPr>
          <w:rFonts w:ascii="仿宋_GB2312" w:eastAsia="仿宋_GB2312" w:hAnsi="仿宋_GB2312" w:cs="仿宋_GB2312" w:hint="eastAsia"/>
          <w:sz w:val="32"/>
          <w:szCs w:val="32"/>
        </w:rPr>
        <w:t>96.5%</w:t>
      </w:r>
      <w:r>
        <w:rPr>
          <w:rFonts w:ascii="仿宋_GB2312" w:eastAsia="仿宋_GB2312" w:hAnsi="仿宋_GB2312" w:cs="仿宋_GB2312" w:hint="eastAsia"/>
          <w:sz w:val="32"/>
          <w:szCs w:val="32"/>
        </w:rPr>
        <w:t>，实现营业收入</w:t>
      </w:r>
      <w:r>
        <w:rPr>
          <w:rFonts w:ascii="仿宋_GB2312" w:eastAsia="仿宋_GB2312" w:hAnsi="仿宋_GB2312" w:cs="仿宋_GB2312" w:hint="eastAsia"/>
          <w:sz w:val="32"/>
          <w:szCs w:val="32"/>
        </w:rPr>
        <w:t>1522.36</w:t>
      </w:r>
      <w:r>
        <w:rPr>
          <w:rFonts w:ascii="仿宋_GB2312" w:eastAsia="仿宋_GB2312" w:hAnsi="仿宋_GB2312" w:cs="仿宋_GB2312" w:hint="eastAsia"/>
          <w:sz w:val="32"/>
          <w:szCs w:val="32"/>
        </w:rPr>
        <w:t>亿元，利润总额</w:t>
      </w:r>
      <w:r>
        <w:rPr>
          <w:rFonts w:ascii="仿宋_GB2312" w:eastAsia="仿宋_GB2312" w:hAnsi="仿宋_GB2312" w:cs="仿宋_GB2312" w:hint="eastAsia"/>
          <w:sz w:val="32"/>
          <w:szCs w:val="32"/>
        </w:rPr>
        <w:t>90.18</w:t>
      </w:r>
      <w:r>
        <w:rPr>
          <w:rFonts w:ascii="仿宋_GB2312" w:eastAsia="仿宋_GB2312" w:hAnsi="仿宋_GB2312" w:cs="仿宋_GB2312" w:hint="eastAsia"/>
          <w:sz w:val="32"/>
          <w:szCs w:val="32"/>
        </w:rPr>
        <w:t>亿元。</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全年高新技术产业增加值</w:t>
      </w:r>
      <w:r>
        <w:rPr>
          <w:rFonts w:ascii="仿宋_GB2312" w:eastAsia="仿宋_GB2312" w:hAnsi="仿宋_GB2312" w:cs="仿宋_GB2312" w:hint="eastAsia"/>
          <w:sz w:val="32"/>
          <w:szCs w:val="32"/>
        </w:rPr>
        <w:t>243.46</w:t>
      </w:r>
      <w:r>
        <w:rPr>
          <w:rFonts w:ascii="仿宋_GB2312" w:eastAsia="仿宋_GB2312" w:hAnsi="仿宋_GB2312" w:cs="仿宋_GB2312" w:hint="eastAsia"/>
          <w:sz w:val="32"/>
          <w:szCs w:val="32"/>
        </w:rPr>
        <w:t>亿元，占</w:t>
      </w:r>
      <w:r>
        <w:rPr>
          <w:rFonts w:ascii="仿宋_GB2312" w:eastAsia="仿宋_GB2312" w:hAnsi="仿宋_GB2312" w:cs="仿宋_GB2312" w:hint="eastAsia"/>
          <w:sz w:val="32"/>
          <w:szCs w:val="32"/>
        </w:rPr>
        <w:t>GDP</w:t>
      </w:r>
      <w:r>
        <w:rPr>
          <w:rFonts w:ascii="仿宋_GB2312" w:eastAsia="仿宋_GB2312" w:hAnsi="仿宋_GB2312" w:cs="仿宋_GB2312" w:hint="eastAsia"/>
          <w:sz w:val="32"/>
          <w:szCs w:val="32"/>
        </w:rPr>
        <w:t>比重为</w:t>
      </w:r>
      <w:r>
        <w:rPr>
          <w:rFonts w:ascii="仿宋_GB2312" w:eastAsia="仿宋_GB2312" w:hAnsi="仿宋_GB2312" w:cs="仿宋_GB2312" w:hint="eastAsia"/>
          <w:sz w:val="32"/>
          <w:szCs w:val="32"/>
        </w:rPr>
        <w:t>13.4%</w:t>
      </w:r>
      <w:r>
        <w:rPr>
          <w:rFonts w:ascii="仿宋_GB2312" w:eastAsia="仿宋_GB2312" w:hAnsi="仿宋_GB2312" w:cs="仿宋_GB2312" w:hint="eastAsia"/>
          <w:sz w:val="32"/>
          <w:szCs w:val="32"/>
        </w:rPr>
        <w:t>。其中，规模以上高新技术产</w:t>
      </w:r>
      <w:r>
        <w:rPr>
          <w:rFonts w:ascii="仿宋_GB2312" w:eastAsia="仿宋_GB2312" w:hAnsi="仿宋_GB2312" w:cs="仿宋_GB2312" w:hint="eastAsia"/>
          <w:sz w:val="32"/>
          <w:szCs w:val="32"/>
        </w:rPr>
        <w:t>业增加值</w:t>
      </w:r>
      <w:r>
        <w:rPr>
          <w:rFonts w:ascii="仿宋_GB2312" w:eastAsia="仿宋_GB2312" w:hAnsi="仿宋_GB2312" w:cs="仿宋_GB2312" w:hint="eastAsia"/>
          <w:sz w:val="32"/>
          <w:szCs w:val="32"/>
        </w:rPr>
        <w:t>242.38</w:t>
      </w:r>
      <w:r>
        <w:rPr>
          <w:rFonts w:ascii="仿宋_GB2312" w:eastAsia="仿宋_GB2312" w:hAnsi="仿宋_GB2312" w:cs="仿宋_GB2312" w:hint="eastAsia"/>
          <w:sz w:val="32"/>
          <w:szCs w:val="32"/>
        </w:rPr>
        <w:t>亿元。</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全年资质以内建筑业企业</w:t>
      </w:r>
      <w:r>
        <w:rPr>
          <w:rFonts w:ascii="仿宋_GB2312" w:eastAsia="仿宋_GB2312" w:hAnsi="仿宋_GB2312" w:cs="仿宋_GB2312" w:hint="eastAsia"/>
          <w:sz w:val="32"/>
          <w:szCs w:val="32"/>
        </w:rPr>
        <w:t>288</w:t>
      </w:r>
      <w:r>
        <w:rPr>
          <w:rFonts w:ascii="仿宋_GB2312" w:eastAsia="仿宋_GB2312" w:hAnsi="仿宋_GB2312" w:cs="仿宋_GB2312" w:hint="eastAsia"/>
          <w:sz w:val="32"/>
          <w:szCs w:val="32"/>
        </w:rPr>
        <w:t>家，比上年增加</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家；建筑业增加值</w:t>
      </w:r>
      <w:r>
        <w:rPr>
          <w:rFonts w:ascii="仿宋_GB2312" w:eastAsia="仿宋_GB2312" w:hAnsi="仿宋_GB2312" w:cs="仿宋_GB2312" w:hint="eastAsia"/>
          <w:sz w:val="32"/>
          <w:szCs w:val="32"/>
        </w:rPr>
        <w:t>102.28</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w:t>
      </w:r>
    </w:p>
    <w:p w:rsidR="00B00752" w:rsidRDefault="005F7F5E">
      <w:pPr>
        <w:numPr>
          <w:ilvl w:val="0"/>
          <w:numId w:val="1"/>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固定资产投资</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全年完成固定资产投资（不含农户）（以下简称投资）比上年增长</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。按产业分，第一、第二产业投资分别下降</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，第三产业增长</w:t>
      </w:r>
      <w:r>
        <w:rPr>
          <w:rFonts w:ascii="仿宋_GB2312" w:eastAsia="仿宋_GB2312" w:hAnsi="仿宋_GB2312" w:cs="仿宋_GB2312" w:hint="eastAsia"/>
          <w:sz w:val="32"/>
          <w:szCs w:val="32"/>
        </w:rPr>
        <w:t>11.6%</w:t>
      </w:r>
      <w:r>
        <w:rPr>
          <w:rFonts w:ascii="仿宋_GB2312" w:eastAsia="仿宋_GB2312" w:hAnsi="仿宋_GB2312" w:cs="仿宋_GB2312" w:hint="eastAsia"/>
          <w:sz w:val="32"/>
          <w:szCs w:val="32"/>
        </w:rPr>
        <w:t>。按投资主体分，国有投资增长</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，民间投资下降</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。按建设性质分，新建、扩建投资分别增长</w:t>
      </w:r>
      <w:r>
        <w:rPr>
          <w:rFonts w:ascii="仿宋_GB2312" w:eastAsia="仿宋_GB2312" w:hAnsi="仿宋_GB2312" w:cs="仿宋_GB2312" w:hint="eastAsia"/>
          <w:sz w:val="32"/>
          <w:szCs w:val="32"/>
        </w:rPr>
        <w:t>9.1%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34.4%</w:t>
      </w:r>
      <w:r>
        <w:rPr>
          <w:rFonts w:ascii="仿宋_GB2312" w:eastAsia="仿宋_GB2312" w:hAnsi="仿宋_GB2312" w:cs="仿宋_GB2312" w:hint="eastAsia"/>
          <w:sz w:val="32"/>
          <w:szCs w:val="32"/>
        </w:rPr>
        <w:t>，改建和技术改造下降</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全年施工项目</w:t>
      </w:r>
      <w:r>
        <w:rPr>
          <w:rFonts w:ascii="仿宋_GB2312" w:eastAsia="仿宋_GB2312" w:hAnsi="仿宋_GB2312" w:cs="仿宋_GB2312" w:hint="eastAsia"/>
          <w:sz w:val="32"/>
          <w:szCs w:val="32"/>
        </w:rPr>
        <w:t>1280</w:t>
      </w:r>
      <w:r>
        <w:rPr>
          <w:rFonts w:ascii="仿宋_GB2312" w:eastAsia="仿宋_GB2312" w:hAnsi="仿宋_GB2312" w:cs="仿宋_GB2312" w:hint="eastAsia"/>
          <w:sz w:val="32"/>
          <w:szCs w:val="32"/>
        </w:rPr>
        <w:t>个，比上年下降</w:t>
      </w:r>
      <w:r>
        <w:rPr>
          <w:rFonts w:ascii="仿宋_GB2312" w:eastAsia="仿宋_GB2312" w:hAnsi="仿宋_GB2312" w:cs="仿宋_GB2312" w:hint="eastAsia"/>
          <w:sz w:val="32"/>
          <w:szCs w:val="32"/>
        </w:rPr>
        <w:t>22.7%</w:t>
      </w:r>
      <w:r>
        <w:rPr>
          <w:rFonts w:ascii="仿宋_GB2312" w:eastAsia="仿宋_GB2312" w:hAnsi="仿宋_GB2312" w:cs="仿宋_GB2312" w:hint="eastAsia"/>
          <w:sz w:val="32"/>
          <w:szCs w:val="32"/>
        </w:rPr>
        <w:t>。其中，十亿元以上项目</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个，完成投资额增长</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全年商品房施工面积</w:t>
      </w:r>
      <w:r>
        <w:rPr>
          <w:rFonts w:ascii="仿宋_GB2312" w:eastAsia="仿宋_GB2312" w:hAnsi="仿宋_GB2312" w:cs="仿宋_GB2312" w:hint="eastAsia"/>
          <w:sz w:val="32"/>
          <w:szCs w:val="32"/>
        </w:rPr>
        <w:t>1473.54</w:t>
      </w:r>
      <w:r>
        <w:rPr>
          <w:rFonts w:ascii="仿宋_GB2312" w:eastAsia="仿宋_GB2312" w:hAnsi="仿宋_GB2312" w:cs="仿宋_GB2312" w:hint="eastAsia"/>
          <w:sz w:val="32"/>
          <w:szCs w:val="32"/>
        </w:rPr>
        <w:t>万平方米，比上年下降</w:t>
      </w:r>
      <w:r>
        <w:rPr>
          <w:rFonts w:ascii="仿宋_GB2312" w:eastAsia="仿宋_GB2312" w:hAnsi="仿宋_GB2312" w:cs="仿宋_GB2312" w:hint="eastAsia"/>
          <w:sz w:val="32"/>
          <w:szCs w:val="32"/>
        </w:rPr>
        <w:lastRenderedPageBreak/>
        <w:t>7.0%</w:t>
      </w:r>
      <w:r>
        <w:rPr>
          <w:rFonts w:ascii="仿宋_GB2312" w:eastAsia="仿宋_GB2312" w:hAnsi="仿宋_GB2312" w:cs="仿宋_GB2312" w:hint="eastAsia"/>
          <w:sz w:val="32"/>
          <w:szCs w:val="32"/>
        </w:rPr>
        <w:t>；商品房销售面积</w:t>
      </w:r>
      <w:r>
        <w:rPr>
          <w:rFonts w:ascii="仿宋_GB2312" w:eastAsia="仿宋_GB2312" w:hAnsi="仿宋_GB2312" w:cs="仿宋_GB2312" w:hint="eastAsia"/>
          <w:sz w:val="32"/>
          <w:szCs w:val="32"/>
        </w:rPr>
        <w:t>260.99</w:t>
      </w:r>
      <w:r>
        <w:rPr>
          <w:rFonts w:ascii="仿宋_GB2312" w:eastAsia="仿宋_GB2312" w:hAnsi="仿宋_GB2312" w:cs="仿宋_GB2312" w:hint="eastAsia"/>
          <w:sz w:val="32"/>
          <w:szCs w:val="32"/>
        </w:rPr>
        <w:t>万平方米，下降</w:t>
      </w:r>
      <w:r>
        <w:rPr>
          <w:rFonts w:ascii="仿宋_GB2312" w:eastAsia="仿宋_GB2312" w:hAnsi="仿宋_GB2312" w:cs="仿宋_GB2312" w:hint="eastAsia"/>
          <w:sz w:val="32"/>
          <w:szCs w:val="32"/>
        </w:rPr>
        <w:t>21.3%</w:t>
      </w:r>
      <w:r>
        <w:rPr>
          <w:rFonts w:ascii="仿宋_GB2312" w:eastAsia="仿宋_GB2312" w:hAnsi="仿宋_GB2312" w:cs="仿宋_GB2312" w:hint="eastAsia"/>
          <w:sz w:val="32"/>
          <w:szCs w:val="32"/>
        </w:rPr>
        <w:t>；商</w:t>
      </w:r>
      <w:r>
        <w:rPr>
          <w:rFonts w:ascii="仿宋_GB2312" w:eastAsia="仿宋_GB2312" w:hAnsi="仿宋_GB2312" w:cs="仿宋_GB2312" w:hint="eastAsia"/>
          <w:sz w:val="32"/>
          <w:szCs w:val="32"/>
        </w:rPr>
        <w:t>品房销售额</w:t>
      </w:r>
      <w:r>
        <w:rPr>
          <w:rFonts w:ascii="仿宋_GB2312" w:eastAsia="仿宋_GB2312" w:hAnsi="仿宋_GB2312" w:cs="仿宋_GB2312" w:hint="eastAsia"/>
          <w:sz w:val="32"/>
          <w:szCs w:val="32"/>
        </w:rPr>
        <w:t>119.82</w:t>
      </w:r>
      <w:r>
        <w:rPr>
          <w:rFonts w:ascii="仿宋_GB2312" w:eastAsia="仿宋_GB2312" w:hAnsi="仿宋_GB2312" w:cs="仿宋_GB2312" w:hint="eastAsia"/>
          <w:sz w:val="32"/>
          <w:szCs w:val="32"/>
        </w:rPr>
        <w:t>亿元，下降</w:t>
      </w:r>
      <w:r>
        <w:rPr>
          <w:rFonts w:ascii="仿宋_GB2312" w:eastAsia="仿宋_GB2312" w:hAnsi="仿宋_GB2312" w:cs="仿宋_GB2312" w:hint="eastAsia"/>
          <w:sz w:val="32"/>
          <w:szCs w:val="32"/>
        </w:rPr>
        <w:t>17.7%</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五、国内贸易</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全年社会消费品零售额</w:t>
      </w:r>
      <w:r>
        <w:rPr>
          <w:rFonts w:ascii="仿宋_GB2312" w:eastAsia="仿宋_GB2312" w:hAnsi="仿宋_GB2312" w:cs="仿宋_GB2312" w:hint="eastAsia"/>
          <w:sz w:val="32"/>
          <w:szCs w:val="32"/>
        </w:rPr>
        <w:t>875.32</w:t>
      </w:r>
      <w:r>
        <w:rPr>
          <w:rFonts w:ascii="仿宋_GB2312" w:eastAsia="仿宋_GB2312" w:hAnsi="仿宋_GB2312" w:cs="仿宋_GB2312" w:hint="eastAsia"/>
          <w:sz w:val="32"/>
          <w:szCs w:val="32"/>
        </w:rPr>
        <w:t>亿元，比上年增长</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。其中，城镇消费品零售额</w:t>
      </w:r>
      <w:r>
        <w:rPr>
          <w:rFonts w:ascii="仿宋_GB2312" w:eastAsia="仿宋_GB2312" w:hAnsi="仿宋_GB2312" w:cs="仿宋_GB2312" w:hint="eastAsia"/>
          <w:sz w:val="32"/>
          <w:szCs w:val="32"/>
        </w:rPr>
        <w:t>589.33</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；乡村消费品零售额</w:t>
      </w:r>
      <w:r>
        <w:rPr>
          <w:rFonts w:ascii="仿宋_GB2312" w:eastAsia="仿宋_GB2312" w:hAnsi="仿宋_GB2312" w:cs="仿宋_GB2312" w:hint="eastAsia"/>
          <w:sz w:val="32"/>
          <w:szCs w:val="32"/>
        </w:rPr>
        <w:t>285.99</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w:t>
      </w:r>
    </w:p>
    <w:p w:rsidR="00B00752" w:rsidRDefault="005F7F5E">
      <w:pPr>
        <w:pStyle w:val="Default"/>
        <w:spacing w:line="560" w:lineRule="exact"/>
        <w:jc w:val="center"/>
        <w:rPr>
          <w:rFonts w:ascii="Times New Roman" w:eastAsia="黑体" w:hAnsi="Times New Roman"/>
          <w:color w:val="auto"/>
          <w:sz w:val="28"/>
          <w:szCs w:val="28"/>
        </w:rPr>
      </w:pPr>
      <w:r>
        <w:rPr>
          <w:rFonts w:ascii="黑体" w:eastAsia="黑体" w:hAnsi="黑体" w:cs="黑体" w:hint="eastAsia"/>
          <w:color w:val="auto"/>
          <w:sz w:val="28"/>
          <w:szCs w:val="28"/>
        </w:rPr>
        <w:t>图</w:t>
      </w:r>
      <w:r>
        <w:rPr>
          <w:rFonts w:ascii="黑体" w:eastAsia="黑体" w:hAnsi="黑体" w:cs="黑体" w:hint="eastAsia"/>
          <w:color w:val="auto"/>
          <w:sz w:val="28"/>
          <w:szCs w:val="28"/>
        </w:rPr>
        <w:t>3  201</w:t>
      </w:r>
      <w:r>
        <w:rPr>
          <w:rFonts w:ascii="黑体" w:eastAsia="黑体" w:hAnsi="黑体" w:cs="黑体" w:hint="eastAsia"/>
          <w:color w:val="auto"/>
          <w:sz w:val="28"/>
          <w:szCs w:val="28"/>
        </w:rPr>
        <w:t>9</w:t>
      </w:r>
      <w:r>
        <w:rPr>
          <w:rFonts w:ascii="黑体" w:eastAsia="黑体" w:hAnsi="黑体" w:cs="黑体" w:hint="eastAsia"/>
          <w:color w:val="auto"/>
          <w:sz w:val="28"/>
          <w:szCs w:val="28"/>
        </w:rPr>
        <w:t>-202</w:t>
      </w:r>
      <w:r>
        <w:rPr>
          <w:rFonts w:ascii="黑体" w:eastAsia="黑体" w:hAnsi="黑体" w:cs="黑体" w:hint="eastAsia"/>
          <w:color w:val="auto"/>
          <w:sz w:val="28"/>
          <w:szCs w:val="28"/>
        </w:rPr>
        <w:t>3</w:t>
      </w:r>
      <w:r>
        <w:rPr>
          <w:rFonts w:ascii="黑体" w:eastAsia="黑体" w:hAnsi="黑体" w:cs="黑体" w:hint="eastAsia"/>
          <w:color w:val="auto"/>
          <w:sz w:val="28"/>
          <w:szCs w:val="28"/>
        </w:rPr>
        <w:t>年全市社会消费品零售总额</w:t>
      </w:r>
      <w:r>
        <w:rPr>
          <w:rFonts w:ascii="黑体" w:eastAsia="黑体" w:hAnsi="黑体" w:cs="黑体" w:hint="eastAsia"/>
          <w:color w:val="auto"/>
          <w:sz w:val="28"/>
          <w:szCs w:val="28"/>
        </w:rPr>
        <w:t>及其增速</w:t>
      </w:r>
    </w:p>
    <w:p w:rsidR="00B00752" w:rsidRDefault="005F7F5E">
      <w:pPr>
        <w:rPr>
          <w:rFonts w:ascii="Times New Roman" w:hAnsi="Times New Roman"/>
        </w:rPr>
      </w:pPr>
      <w:r>
        <w:rPr>
          <w:rFonts w:ascii="Times New Roman" w:hAnsi="Times New Roman"/>
          <w:noProof/>
        </w:rPr>
        <w:drawing>
          <wp:inline distT="0" distB="0" distL="114300" distR="114300">
            <wp:extent cx="5539740" cy="3789680"/>
            <wp:effectExtent l="0" t="0" r="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全年限额以上商品零售额</w:t>
      </w:r>
      <w:r>
        <w:rPr>
          <w:rFonts w:ascii="仿宋_GB2312" w:eastAsia="仿宋_GB2312" w:hAnsi="仿宋_GB2312" w:cs="仿宋_GB2312" w:hint="eastAsia"/>
          <w:sz w:val="32"/>
          <w:szCs w:val="32"/>
        </w:rPr>
        <w:t>161.80</w:t>
      </w:r>
      <w:r>
        <w:rPr>
          <w:rFonts w:ascii="仿宋_GB2312" w:eastAsia="仿宋_GB2312" w:hAnsi="仿宋_GB2312" w:cs="仿宋_GB2312" w:hint="eastAsia"/>
          <w:sz w:val="32"/>
          <w:szCs w:val="32"/>
        </w:rPr>
        <w:t>亿元，比上年增长</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。其中，通过公共网络实现的商品零售额</w:t>
      </w:r>
      <w:r>
        <w:rPr>
          <w:rFonts w:ascii="仿宋_GB2312" w:eastAsia="仿宋_GB2312" w:hAnsi="仿宋_GB2312" w:cs="仿宋_GB2312" w:hint="eastAsia"/>
          <w:sz w:val="32"/>
          <w:szCs w:val="32"/>
        </w:rPr>
        <w:t>9.33</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13.7%</w:t>
      </w:r>
      <w:r>
        <w:rPr>
          <w:rFonts w:ascii="仿宋_GB2312" w:eastAsia="仿宋_GB2312" w:hAnsi="仿宋_GB2312" w:cs="仿宋_GB2312" w:hint="eastAsia"/>
          <w:sz w:val="32"/>
          <w:szCs w:val="32"/>
        </w:rPr>
        <w:t>。</w:t>
      </w:r>
    </w:p>
    <w:p w:rsidR="00B00752" w:rsidRDefault="005F7F5E">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六、对外经济</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全年进出口总额</w:t>
      </w:r>
      <w:r>
        <w:rPr>
          <w:rFonts w:ascii="仿宋_GB2312" w:eastAsia="仿宋_GB2312" w:hAnsi="仿宋_GB2312" w:cs="仿宋_GB2312" w:hint="eastAsia"/>
          <w:sz w:val="32"/>
          <w:szCs w:val="32"/>
        </w:rPr>
        <w:t>123.75</w:t>
      </w:r>
      <w:r>
        <w:rPr>
          <w:rFonts w:ascii="仿宋_GB2312" w:eastAsia="仿宋_GB2312" w:hAnsi="仿宋_GB2312" w:cs="仿宋_GB2312" w:hint="eastAsia"/>
          <w:sz w:val="32"/>
          <w:szCs w:val="32"/>
        </w:rPr>
        <w:t>亿元，比上年增长</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。其中，进口</w:t>
      </w:r>
      <w:r>
        <w:rPr>
          <w:rFonts w:ascii="仿宋_GB2312" w:eastAsia="仿宋_GB2312" w:hAnsi="仿宋_GB2312" w:cs="仿宋_GB2312" w:hint="eastAsia"/>
          <w:sz w:val="32"/>
          <w:szCs w:val="32"/>
        </w:rPr>
        <w:t>8.29</w:t>
      </w:r>
      <w:r>
        <w:rPr>
          <w:rFonts w:ascii="仿宋_GB2312" w:eastAsia="仿宋_GB2312" w:hAnsi="仿宋_GB2312" w:cs="仿宋_GB2312" w:hint="eastAsia"/>
          <w:sz w:val="32"/>
          <w:szCs w:val="32"/>
        </w:rPr>
        <w:t>亿元，下降</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；出口</w:t>
      </w:r>
      <w:r>
        <w:rPr>
          <w:rFonts w:ascii="仿宋_GB2312" w:eastAsia="仿宋_GB2312" w:hAnsi="仿宋_GB2312" w:cs="仿宋_GB2312" w:hint="eastAsia"/>
          <w:sz w:val="32"/>
          <w:szCs w:val="32"/>
        </w:rPr>
        <w:t>115.46</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p>
    <w:p w:rsidR="00B00752" w:rsidRDefault="005F7F5E">
      <w:pPr>
        <w:pStyle w:val="Default"/>
        <w:jc w:val="center"/>
        <w:rPr>
          <w:rFonts w:ascii="Times New Roman" w:hAnsi="Times New Roman"/>
          <w:sz w:val="28"/>
          <w:szCs w:val="28"/>
        </w:rPr>
      </w:pPr>
      <w:r>
        <w:rPr>
          <w:rFonts w:ascii="黑体" w:eastAsia="黑体" w:hAnsi="黑体" w:cs="黑体" w:hint="eastAsia"/>
          <w:sz w:val="28"/>
          <w:szCs w:val="28"/>
        </w:rPr>
        <w:lastRenderedPageBreak/>
        <w:t>图</w:t>
      </w:r>
      <w:r>
        <w:rPr>
          <w:rFonts w:ascii="黑体" w:eastAsia="黑体" w:hAnsi="黑体" w:cs="黑体" w:hint="eastAsia"/>
          <w:sz w:val="28"/>
          <w:szCs w:val="28"/>
        </w:rPr>
        <w:t>4</w:t>
      </w:r>
      <w:r>
        <w:rPr>
          <w:rFonts w:ascii="黑体" w:eastAsia="黑体" w:hAnsi="黑体" w:cs="黑体" w:hint="eastAsia"/>
          <w:sz w:val="28"/>
          <w:szCs w:val="28"/>
        </w:rPr>
        <w:t xml:space="preserve">  201</w:t>
      </w:r>
      <w:r>
        <w:rPr>
          <w:rFonts w:ascii="黑体" w:eastAsia="黑体" w:hAnsi="黑体" w:cs="黑体" w:hint="eastAsia"/>
          <w:sz w:val="28"/>
          <w:szCs w:val="28"/>
        </w:rPr>
        <w:t>9</w:t>
      </w:r>
      <w:r>
        <w:rPr>
          <w:rFonts w:ascii="黑体" w:eastAsia="黑体" w:hAnsi="黑体" w:cs="黑体" w:hint="eastAsia"/>
          <w:sz w:val="28"/>
          <w:szCs w:val="28"/>
        </w:rPr>
        <w:t>-202</w:t>
      </w:r>
      <w:r>
        <w:rPr>
          <w:rFonts w:ascii="黑体" w:eastAsia="黑体" w:hAnsi="黑体" w:cs="黑体" w:hint="eastAsia"/>
          <w:sz w:val="28"/>
          <w:szCs w:val="28"/>
        </w:rPr>
        <w:t>3</w:t>
      </w:r>
      <w:r>
        <w:rPr>
          <w:rFonts w:ascii="黑体" w:eastAsia="黑体" w:hAnsi="黑体" w:cs="黑体" w:hint="eastAsia"/>
          <w:sz w:val="28"/>
          <w:szCs w:val="28"/>
        </w:rPr>
        <w:t>年全市货物进出口总额</w:t>
      </w:r>
    </w:p>
    <w:p w:rsidR="00B00752" w:rsidRDefault="005F7F5E">
      <w:pPr>
        <w:jc w:val="center"/>
        <w:rPr>
          <w:rFonts w:ascii="Times New Roman" w:hAnsi="Times New Roman"/>
        </w:rPr>
      </w:pPr>
      <w:r>
        <w:rPr>
          <w:rFonts w:ascii="Times New Roman" w:hAnsi="Times New Roman"/>
          <w:noProof/>
        </w:rPr>
        <w:drawing>
          <wp:inline distT="0" distB="0" distL="114300" distR="114300">
            <wp:extent cx="5209540" cy="3482975"/>
            <wp:effectExtent l="0" t="0" r="0" b="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全年新设立外商直接投资企业</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家。实际利用外资（</w:t>
      </w:r>
      <w:r>
        <w:rPr>
          <w:rFonts w:ascii="仿宋_GB2312" w:eastAsia="仿宋_GB2312" w:hAnsi="仿宋_GB2312" w:cs="仿宋_GB2312" w:hint="eastAsia"/>
          <w:sz w:val="32"/>
          <w:szCs w:val="32"/>
        </w:rPr>
        <w:t>FDI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8930</w:t>
      </w:r>
      <w:r>
        <w:rPr>
          <w:rFonts w:ascii="仿宋_GB2312" w:eastAsia="仿宋_GB2312" w:hAnsi="仿宋_GB2312" w:cs="仿宋_GB2312" w:hint="eastAsia"/>
          <w:sz w:val="32"/>
          <w:szCs w:val="32"/>
        </w:rPr>
        <w:t>万美元，比上年增长</w:t>
      </w:r>
      <w:r>
        <w:rPr>
          <w:rFonts w:ascii="仿宋_GB2312" w:eastAsia="仿宋_GB2312" w:hAnsi="仿宋_GB2312" w:cs="仿宋_GB2312" w:hint="eastAsia"/>
          <w:sz w:val="32"/>
          <w:szCs w:val="32"/>
        </w:rPr>
        <w:t>46.5%</w:t>
      </w:r>
      <w:r>
        <w:rPr>
          <w:rFonts w:ascii="仿宋_GB2312" w:eastAsia="仿宋_GB2312" w:hAnsi="仿宋_GB2312" w:cs="仿宋_GB2312" w:hint="eastAsia"/>
          <w:sz w:val="32"/>
          <w:szCs w:val="32"/>
        </w:rPr>
        <w:t>。</w:t>
      </w:r>
    </w:p>
    <w:p w:rsidR="00B00752" w:rsidRDefault="005F7F5E">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七、交通、邮电</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年末公路通车里程</w:t>
      </w:r>
      <w:r>
        <w:rPr>
          <w:rFonts w:ascii="仿宋_GB2312" w:eastAsia="仿宋_GB2312" w:hAnsi="仿宋_GB2312" w:cs="仿宋_GB2312" w:hint="eastAsia"/>
          <w:sz w:val="32"/>
          <w:szCs w:val="32"/>
        </w:rPr>
        <w:t>17391.84</w:t>
      </w:r>
      <w:r>
        <w:rPr>
          <w:rFonts w:ascii="仿宋_GB2312" w:eastAsia="仿宋_GB2312" w:hAnsi="仿宋_GB2312" w:cs="仿宋_GB2312" w:hint="eastAsia"/>
          <w:sz w:val="32"/>
          <w:szCs w:val="32"/>
        </w:rPr>
        <w:t>公里，比上年末增长</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。全年完成货物周转量</w:t>
      </w:r>
      <w:r>
        <w:rPr>
          <w:rFonts w:ascii="仿宋_GB2312" w:eastAsia="仿宋_GB2312" w:hAnsi="仿宋_GB2312" w:cs="仿宋_GB2312" w:hint="eastAsia"/>
          <w:sz w:val="32"/>
          <w:szCs w:val="32"/>
        </w:rPr>
        <w:t>61.36</w:t>
      </w:r>
      <w:r>
        <w:rPr>
          <w:rFonts w:ascii="仿宋_GB2312" w:eastAsia="仿宋_GB2312" w:hAnsi="仿宋_GB2312" w:cs="仿宋_GB2312" w:hint="eastAsia"/>
          <w:sz w:val="32"/>
          <w:szCs w:val="32"/>
        </w:rPr>
        <w:t>亿吨公里，增长</w:t>
      </w:r>
      <w:r>
        <w:rPr>
          <w:rFonts w:ascii="仿宋_GB2312" w:eastAsia="仿宋_GB2312" w:hAnsi="仿宋_GB2312" w:cs="仿宋_GB2312" w:hint="eastAsia"/>
          <w:sz w:val="32"/>
          <w:szCs w:val="32"/>
        </w:rPr>
        <w:t>16.9%</w:t>
      </w:r>
      <w:r>
        <w:rPr>
          <w:rFonts w:ascii="仿宋_GB2312" w:eastAsia="仿宋_GB2312" w:hAnsi="仿宋_GB2312" w:cs="仿宋_GB2312" w:hint="eastAsia"/>
          <w:sz w:val="32"/>
          <w:szCs w:val="32"/>
        </w:rPr>
        <w:t>；客运周转量</w:t>
      </w:r>
      <w:r>
        <w:rPr>
          <w:rFonts w:ascii="仿宋_GB2312" w:eastAsia="仿宋_GB2312" w:hAnsi="仿宋_GB2312" w:cs="仿宋_GB2312" w:hint="eastAsia"/>
          <w:sz w:val="32"/>
          <w:szCs w:val="32"/>
        </w:rPr>
        <w:t>5.28</w:t>
      </w:r>
      <w:r>
        <w:rPr>
          <w:rFonts w:ascii="仿宋_GB2312" w:eastAsia="仿宋_GB2312" w:hAnsi="仿宋_GB2312" w:cs="仿宋_GB2312" w:hint="eastAsia"/>
          <w:sz w:val="32"/>
          <w:szCs w:val="32"/>
        </w:rPr>
        <w:t>亿人公里，增长</w:t>
      </w:r>
      <w:r>
        <w:rPr>
          <w:rFonts w:ascii="仿宋_GB2312" w:eastAsia="仿宋_GB2312" w:hAnsi="仿宋_GB2312" w:cs="仿宋_GB2312" w:hint="eastAsia"/>
          <w:sz w:val="32"/>
          <w:szCs w:val="32"/>
        </w:rPr>
        <w:t>16.9%</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年末民用汽车保有量</w:t>
      </w:r>
      <w:r>
        <w:rPr>
          <w:rFonts w:ascii="仿宋_GB2312" w:eastAsia="仿宋_GB2312" w:hAnsi="仿宋_GB2312" w:cs="仿宋_GB2312" w:hint="eastAsia"/>
          <w:sz w:val="32"/>
          <w:szCs w:val="32"/>
        </w:rPr>
        <w:t>34.11</w:t>
      </w:r>
      <w:r>
        <w:rPr>
          <w:rFonts w:ascii="仿宋_GB2312" w:eastAsia="仿宋_GB2312" w:hAnsi="仿宋_GB2312" w:cs="仿宋_GB2312" w:hint="eastAsia"/>
          <w:sz w:val="32"/>
          <w:szCs w:val="32"/>
        </w:rPr>
        <w:t>万辆。其中，私人汽车</w:t>
      </w:r>
      <w:r>
        <w:rPr>
          <w:rFonts w:ascii="仿宋_GB2312" w:eastAsia="仿宋_GB2312" w:hAnsi="仿宋_GB2312" w:cs="仿宋_GB2312" w:hint="eastAsia"/>
          <w:color w:val="FF0000"/>
          <w:sz w:val="32"/>
          <w:szCs w:val="32"/>
        </w:rPr>
        <w:t>31.78</w:t>
      </w:r>
      <w:r>
        <w:rPr>
          <w:rFonts w:ascii="仿宋_GB2312" w:eastAsia="仿宋_GB2312" w:hAnsi="仿宋_GB2312" w:cs="仿宋_GB2312" w:hint="eastAsia"/>
          <w:sz w:val="32"/>
          <w:szCs w:val="32"/>
        </w:rPr>
        <w:t>万辆。新能源汽车</w:t>
      </w:r>
      <w:r>
        <w:rPr>
          <w:rFonts w:ascii="仿宋_GB2312" w:eastAsia="仿宋_GB2312" w:hAnsi="仿宋_GB2312" w:cs="仿宋_GB2312" w:hint="eastAsia"/>
          <w:sz w:val="32"/>
          <w:szCs w:val="32"/>
        </w:rPr>
        <w:t>1.59</w:t>
      </w:r>
      <w:r>
        <w:rPr>
          <w:rFonts w:ascii="仿宋_GB2312" w:eastAsia="仿宋_GB2312" w:hAnsi="仿宋_GB2312" w:cs="仿宋_GB2312" w:hint="eastAsia"/>
          <w:sz w:val="32"/>
          <w:szCs w:val="32"/>
        </w:rPr>
        <w:t>万辆，比上年末增长</w:t>
      </w:r>
      <w:r>
        <w:rPr>
          <w:rFonts w:ascii="仿宋_GB2312" w:eastAsia="仿宋_GB2312" w:hAnsi="仿宋_GB2312" w:cs="仿宋_GB2312" w:hint="eastAsia"/>
          <w:sz w:val="32"/>
          <w:szCs w:val="32"/>
        </w:rPr>
        <w:t>68.6%</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全年完成邮政行业业务总量</w:t>
      </w:r>
      <w:r>
        <w:rPr>
          <w:rFonts w:ascii="仿宋_GB2312" w:eastAsia="仿宋_GB2312" w:hAnsi="仿宋_GB2312" w:cs="仿宋_GB2312" w:hint="eastAsia"/>
          <w:sz w:val="32"/>
          <w:szCs w:val="32"/>
        </w:rPr>
        <w:t>15.89</w:t>
      </w:r>
      <w:r>
        <w:rPr>
          <w:rFonts w:ascii="仿宋_GB2312" w:eastAsia="仿宋_GB2312" w:hAnsi="仿宋_GB2312" w:cs="仿宋_GB2312" w:hint="eastAsia"/>
          <w:sz w:val="32"/>
          <w:szCs w:val="32"/>
        </w:rPr>
        <w:t>亿元，比上年增长</w:t>
      </w:r>
      <w:r>
        <w:rPr>
          <w:rFonts w:ascii="仿宋_GB2312" w:eastAsia="仿宋_GB2312" w:hAnsi="仿宋_GB2312" w:cs="仿宋_GB2312" w:hint="eastAsia"/>
          <w:sz w:val="32"/>
          <w:szCs w:val="32"/>
        </w:rPr>
        <w:t>48.8%</w:t>
      </w:r>
      <w:r>
        <w:rPr>
          <w:rFonts w:ascii="仿宋_GB2312" w:eastAsia="仿宋_GB2312" w:hAnsi="仿宋_GB2312" w:cs="仿宋_GB2312" w:hint="eastAsia"/>
          <w:sz w:val="32"/>
          <w:szCs w:val="32"/>
        </w:rPr>
        <w:t>。邮政行业业务收入（不包括邮政储蓄银行直接营业收入）</w:t>
      </w:r>
      <w:r>
        <w:rPr>
          <w:rFonts w:ascii="仿宋_GB2312" w:eastAsia="仿宋_GB2312" w:hAnsi="仿宋_GB2312" w:cs="仿宋_GB2312" w:hint="eastAsia"/>
          <w:sz w:val="32"/>
          <w:szCs w:val="32"/>
        </w:rPr>
        <w:t>12.39</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25.7%</w:t>
      </w:r>
      <w:r>
        <w:rPr>
          <w:rFonts w:ascii="仿宋_GB2312" w:eastAsia="仿宋_GB2312" w:hAnsi="仿宋_GB2312" w:cs="仿宋_GB2312" w:hint="eastAsia"/>
          <w:sz w:val="32"/>
          <w:szCs w:val="32"/>
        </w:rPr>
        <w:t>。其中，快递业务收入</w:t>
      </w:r>
      <w:r>
        <w:rPr>
          <w:rFonts w:ascii="仿宋_GB2312" w:eastAsia="仿宋_GB2312" w:hAnsi="仿宋_GB2312" w:cs="仿宋_GB2312" w:hint="eastAsia"/>
          <w:sz w:val="32"/>
          <w:szCs w:val="32"/>
        </w:rPr>
        <w:t>6.85</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41.5%</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全年完成电信业务总量</w:t>
      </w:r>
      <w:r>
        <w:rPr>
          <w:rFonts w:ascii="仿宋_GB2312" w:eastAsia="仿宋_GB2312" w:hAnsi="仿宋_GB2312" w:cs="仿宋_GB2312" w:hint="eastAsia"/>
          <w:sz w:val="32"/>
          <w:szCs w:val="32"/>
        </w:rPr>
        <w:t>23.12</w:t>
      </w:r>
      <w:r>
        <w:rPr>
          <w:rFonts w:ascii="仿宋_GB2312" w:eastAsia="仿宋_GB2312" w:hAnsi="仿宋_GB2312" w:cs="仿宋_GB2312" w:hint="eastAsia"/>
          <w:sz w:val="32"/>
          <w:szCs w:val="32"/>
        </w:rPr>
        <w:t>亿元，比上年增</w:t>
      </w:r>
      <w:r>
        <w:rPr>
          <w:rFonts w:ascii="仿宋_GB2312" w:eastAsia="仿宋_GB2312" w:hAnsi="仿宋_GB2312" w:cs="仿宋_GB2312" w:hint="eastAsia"/>
          <w:sz w:val="32"/>
          <w:szCs w:val="32"/>
        </w:rPr>
        <w:t>长</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。年末固定电话用户</w:t>
      </w:r>
      <w:r>
        <w:rPr>
          <w:rFonts w:ascii="仿宋_GB2312" w:eastAsia="仿宋_GB2312" w:hAnsi="仿宋_GB2312" w:cs="仿宋_GB2312" w:hint="eastAsia"/>
          <w:sz w:val="32"/>
          <w:szCs w:val="32"/>
        </w:rPr>
        <w:t>26.12</w:t>
      </w:r>
      <w:r>
        <w:rPr>
          <w:rFonts w:ascii="仿宋_GB2312" w:eastAsia="仿宋_GB2312" w:hAnsi="仿宋_GB2312" w:cs="仿宋_GB2312" w:hint="eastAsia"/>
          <w:sz w:val="32"/>
          <w:szCs w:val="32"/>
        </w:rPr>
        <w:t>万户，下降</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；移动电话用户</w:t>
      </w:r>
      <w:r>
        <w:rPr>
          <w:rFonts w:ascii="仿宋_GB2312" w:eastAsia="仿宋_GB2312" w:hAnsi="仿宋_GB2312" w:cs="仿宋_GB2312" w:hint="eastAsia"/>
          <w:sz w:val="32"/>
          <w:szCs w:val="32"/>
        </w:rPr>
        <w:t>270.44</w:t>
      </w:r>
      <w:r>
        <w:rPr>
          <w:rFonts w:ascii="仿宋_GB2312" w:eastAsia="仿宋_GB2312" w:hAnsi="仿宋_GB2312" w:cs="仿宋_GB2312" w:hint="eastAsia"/>
          <w:sz w:val="32"/>
          <w:szCs w:val="32"/>
        </w:rPr>
        <w:t>万户，增长</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。互联网宽带接入用户</w:t>
      </w:r>
      <w:r>
        <w:rPr>
          <w:rFonts w:ascii="仿宋_GB2312" w:eastAsia="仿宋_GB2312" w:hAnsi="仿宋_GB2312" w:cs="仿宋_GB2312" w:hint="eastAsia"/>
          <w:sz w:val="32"/>
          <w:szCs w:val="32"/>
        </w:rPr>
        <w:t>122.23</w:t>
      </w:r>
      <w:r>
        <w:rPr>
          <w:rFonts w:ascii="仿宋_GB2312" w:eastAsia="仿宋_GB2312" w:hAnsi="仿宋_GB2312" w:cs="仿宋_GB2312" w:hint="eastAsia"/>
          <w:sz w:val="32"/>
          <w:szCs w:val="32"/>
        </w:rPr>
        <w:t>万户，增长</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；移动互联网用户接入流量</w:t>
      </w:r>
      <w:r>
        <w:rPr>
          <w:rFonts w:ascii="仿宋_GB2312" w:eastAsia="仿宋_GB2312" w:hAnsi="仿宋_GB2312" w:cs="仿宋_GB2312" w:hint="eastAsia"/>
          <w:sz w:val="32"/>
          <w:szCs w:val="32"/>
        </w:rPr>
        <w:t>2.06</w:t>
      </w:r>
      <w:r>
        <w:rPr>
          <w:rFonts w:ascii="仿宋_GB2312" w:eastAsia="仿宋_GB2312" w:hAnsi="仿宋_GB2312" w:cs="仿宋_GB2312" w:hint="eastAsia"/>
          <w:sz w:val="32"/>
          <w:szCs w:val="32"/>
        </w:rPr>
        <w:t>亿</w:t>
      </w:r>
      <w:r>
        <w:rPr>
          <w:rFonts w:ascii="仿宋_GB2312" w:eastAsia="仿宋_GB2312" w:hAnsi="仿宋_GB2312" w:cs="仿宋_GB2312" w:hint="eastAsia"/>
          <w:sz w:val="32"/>
          <w:szCs w:val="32"/>
        </w:rPr>
        <w:t>GB</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15.1%</w:t>
      </w:r>
      <w:r>
        <w:rPr>
          <w:rFonts w:ascii="仿宋_GB2312" w:eastAsia="仿宋_GB2312" w:hAnsi="仿宋_GB2312" w:cs="仿宋_GB2312" w:hint="eastAsia"/>
          <w:sz w:val="32"/>
          <w:szCs w:val="32"/>
        </w:rPr>
        <w:t>。</w:t>
      </w:r>
    </w:p>
    <w:p w:rsidR="00B00752" w:rsidRDefault="005F7F5E">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八、财政和金融</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全年完成地方财政总收入</w:t>
      </w:r>
      <w:r>
        <w:rPr>
          <w:rFonts w:ascii="仿宋_GB2312" w:eastAsia="仿宋_GB2312" w:hAnsi="仿宋_GB2312" w:cs="仿宋_GB2312" w:hint="eastAsia"/>
          <w:sz w:val="32"/>
          <w:szCs w:val="32"/>
        </w:rPr>
        <w:t>169.82</w:t>
      </w:r>
      <w:r>
        <w:rPr>
          <w:rFonts w:ascii="仿宋_GB2312" w:eastAsia="仿宋_GB2312" w:hAnsi="仿宋_GB2312" w:cs="仿宋_GB2312" w:hint="eastAsia"/>
          <w:sz w:val="32"/>
          <w:szCs w:val="32"/>
        </w:rPr>
        <w:t>亿元，比上年增长</w:t>
      </w:r>
      <w:r>
        <w:rPr>
          <w:rFonts w:ascii="仿宋_GB2312" w:eastAsia="仿宋_GB2312" w:hAnsi="仿宋_GB2312" w:cs="仿宋_GB2312" w:hint="eastAsia"/>
          <w:sz w:val="32"/>
          <w:szCs w:val="32"/>
        </w:rPr>
        <w:t>11.4%</w:t>
      </w:r>
      <w:r>
        <w:rPr>
          <w:rFonts w:ascii="仿宋_GB2312" w:eastAsia="仿宋_GB2312" w:hAnsi="仿宋_GB2312" w:cs="仿宋_GB2312" w:hint="eastAsia"/>
          <w:sz w:val="32"/>
          <w:szCs w:val="32"/>
        </w:rPr>
        <w:t>。其中，地方一般公共预算收入</w:t>
      </w:r>
      <w:r>
        <w:rPr>
          <w:rFonts w:ascii="仿宋_GB2312" w:eastAsia="仿宋_GB2312" w:hAnsi="仿宋_GB2312" w:cs="仿宋_GB2312" w:hint="eastAsia"/>
          <w:sz w:val="32"/>
          <w:szCs w:val="32"/>
        </w:rPr>
        <w:t>106.97</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11.4%</w:t>
      </w:r>
      <w:r>
        <w:rPr>
          <w:rFonts w:ascii="仿宋_GB2312" w:eastAsia="仿宋_GB2312" w:hAnsi="仿宋_GB2312" w:cs="仿宋_GB2312" w:hint="eastAsia"/>
          <w:sz w:val="32"/>
          <w:szCs w:val="32"/>
        </w:rPr>
        <w:t>。地方一般公共预算支出</w:t>
      </w:r>
      <w:r>
        <w:rPr>
          <w:rFonts w:ascii="仿宋_GB2312" w:eastAsia="仿宋_GB2312" w:hAnsi="仿宋_GB2312" w:cs="仿宋_GB2312" w:hint="eastAsia"/>
          <w:sz w:val="32"/>
          <w:szCs w:val="32"/>
        </w:rPr>
        <w:t>315.57</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年末金融机构本外币存款余额</w:t>
      </w:r>
      <w:r>
        <w:rPr>
          <w:rFonts w:ascii="仿宋_GB2312" w:eastAsia="仿宋_GB2312" w:hAnsi="仿宋_GB2312" w:cs="仿宋_GB2312" w:hint="eastAsia"/>
          <w:sz w:val="32"/>
          <w:szCs w:val="32"/>
        </w:rPr>
        <w:t>2337.52</w:t>
      </w:r>
      <w:r>
        <w:rPr>
          <w:rFonts w:ascii="仿宋_GB2312" w:eastAsia="仿宋_GB2312" w:hAnsi="仿宋_GB2312" w:cs="仿宋_GB2312" w:hint="eastAsia"/>
          <w:sz w:val="32"/>
          <w:szCs w:val="32"/>
        </w:rPr>
        <w:t>亿元，比年初增加</w:t>
      </w:r>
      <w:r>
        <w:rPr>
          <w:rFonts w:ascii="仿宋_GB2312" w:eastAsia="仿宋_GB2312" w:hAnsi="仿宋_GB2312" w:cs="仿宋_GB2312" w:hint="eastAsia"/>
          <w:sz w:val="32"/>
          <w:szCs w:val="32"/>
        </w:rPr>
        <w:t>199.97</w:t>
      </w:r>
      <w:r>
        <w:rPr>
          <w:rFonts w:ascii="仿宋_GB2312" w:eastAsia="仿宋_GB2312" w:hAnsi="仿宋_GB2312" w:cs="仿宋_GB2312" w:hint="eastAsia"/>
          <w:sz w:val="32"/>
          <w:szCs w:val="32"/>
        </w:rPr>
        <w:t>亿元。其中，住户存款</w:t>
      </w:r>
      <w:r>
        <w:rPr>
          <w:rFonts w:ascii="仿宋_GB2312" w:eastAsia="仿宋_GB2312" w:hAnsi="仿宋_GB2312" w:cs="仿宋_GB2312" w:hint="eastAsia"/>
          <w:sz w:val="32"/>
          <w:szCs w:val="32"/>
        </w:rPr>
        <w:t>1722.52</w:t>
      </w:r>
      <w:r>
        <w:rPr>
          <w:rFonts w:ascii="仿宋_GB2312" w:eastAsia="仿宋_GB2312" w:hAnsi="仿宋_GB2312" w:cs="仿宋_GB2312" w:hint="eastAsia"/>
          <w:sz w:val="32"/>
          <w:szCs w:val="32"/>
        </w:rPr>
        <w:t>亿元，增加</w:t>
      </w:r>
      <w:r>
        <w:rPr>
          <w:rFonts w:ascii="仿宋_GB2312" w:eastAsia="仿宋_GB2312" w:hAnsi="仿宋_GB2312" w:cs="仿宋_GB2312" w:hint="eastAsia"/>
          <w:sz w:val="32"/>
          <w:szCs w:val="32"/>
        </w:rPr>
        <w:t>228.23</w:t>
      </w:r>
      <w:r>
        <w:rPr>
          <w:rFonts w:ascii="仿宋_GB2312" w:eastAsia="仿宋_GB2312" w:hAnsi="仿宋_GB2312" w:cs="仿宋_GB2312" w:hint="eastAsia"/>
          <w:sz w:val="32"/>
          <w:szCs w:val="32"/>
        </w:rPr>
        <w:t>亿元。本外币贷款余额</w:t>
      </w:r>
      <w:r>
        <w:rPr>
          <w:rFonts w:ascii="仿宋_GB2312" w:eastAsia="仿宋_GB2312" w:hAnsi="仿宋_GB2312" w:cs="仿宋_GB2312" w:hint="eastAsia"/>
          <w:sz w:val="32"/>
          <w:szCs w:val="32"/>
        </w:rPr>
        <w:t>1893.07</w:t>
      </w:r>
      <w:r>
        <w:rPr>
          <w:rFonts w:ascii="仿宋_GB2312" w:eastAsia="仿宋_GB2312" w:hAnsi="仿宋_GB2312" w:cs="仿宋_GB2312" w:hint="eastAsia"/>
          <w:sz w:val="32"/>
          <w:szCs w:val="32"/>
        </w:rPr>
        <w:t>亿元，比年初增加</w:t>
      </w:r>
      <w:r>
        <w:rPr>
          <w:rFonts w:ascii="仿宋_GB2312" w:eastAsia="仿宋_GB2312" w:hAnsi="仿宋_GB2312" w:cs="仿宋_GB2312" w:hint="eastAsia"/>
          <w:sz w:val="32"/>
          <w:szCs w:val="32"/>
        </w:rPr>
        <w:t>229.96</w:t>
      </w:r>
      <w:r>
        <w:rPr>
          <w:rFonts w:ascii="仿宋_GB2312" w:eastAsia="仿宋_GB2312" w:hAnsi="仿宋_GB2312" w:cs="仿宋_GB2312" w:hint="eastAsia"/>
          <w:sz w:val="32"/>
          <w:szCs w:val="32"/>
        </w:rPr>
        <w:t>亿元。其中，住户贷款</w:t>
      </w:r>
      <w:r>
        <w:rPr>
          <w:rFonts w:ascii="仿宋_GB2312" w:eastAsia="仿宋_GB2312" w:hAnsi="仿宋_GB2312" w:cs="仿宋_GB2312" w:hint="eastAsia"/>
          <w:sz w:val="32"/>
          <w:szCs w:val="32"/>
        </w:rPr>
        <w:t>681.32</w:t>
      </w:r>
      <w:r>
        <w:rPr>
          <w:rFonts w:ascii="仿宋_GB2312" w:eastAsia="仿宋_GB2312" w:hAnsi="仿宋_GB2312" w:cs="仿宋_GB2312" w:hint="eastAsia"/>
          <w:sz w:val="32"/>
          <w:szCs w:val="32"/>
        </w:rPr>
        <w:t>亿元，增加</w:t>
      </w:r>
      <w:r>
        <w:rPr>
          <w:rFonts w:ascii="仿宋_GB2312" w:eastAsia="仿宋_GB2312" w:hAnsi="仿宋_GB2312" w:cs="仿宋_GB2312" w:hint="eastAsia"/>
          <w:sz w:val="32"/>
          <w:szCs w:val="32"/>
        </w:rPr>
        <w:t>50.75</w:t>
      </w:r>
      <w:r>
        <w:rPr>
          <w:rFonts w:ascii="仿宋_GB2312" w:eastAsia="仿宋_GB2312" w:hAnsi="仿宋_GB2312" w:cs="仿宋_GB2312" w:hint="eastAsia"/>
          <w:sz w:val="32"/>
          <w:szCs w:val="32"/>
        </w:rPr>
        <w:t>亿元；非金融企业及机关团体贷款</w:t>
      </w:r>
      <w:r>
        <w:rPr>
          <w:rFonts w:ascii="仿宋_GB2312" w:eastAsia="仿宋_GB2312" w:hAnsi="仿宋_GB2312" w:cs="仿宋_GB2312" w:hint="eastAsia"/>
          <w:sz w:val="32"/>
          <w:szCs w:val="32"/>
        </w:rPr>
        <w:t>1211.63</w:t>
      </w:r>
      <w:r>
        <w:rPr>
          <w:rFonts w:ascii="仿宋_GB2312" w:eastAsia="仿宋_GB2312" w:hAnsi="仿宋_GB2312" w:cs="仿宋_GB2312" w:hint="eastAsia"/>
          <w:sz w:val="32"/>
          <w:szCs w:val="32"/>
        </w:rPr>
        <w:t>亿元，增加</w:t>
      </w:r>
      <w:r>
        <w:rPr>
          <w:rFonts w:ascii="仿宋_GB2312" w:eastAsia="仿宋_GB2312" w:hAnsi="仿宋_GB2312" w:cs="仿宋_GB2312" w:hint="eastAsia"/>
          <w:sz w:val="32"/>
          <w:szCs w:val="32"/>
        </w:rPr>
        <w:t>179.19</w:t>
      </w:r>
      <w:r>
        <w:rPr>
          <w:rFonts w:ascii="仿宋_GB2312" w:eastAsia="仿宋_GB2312" w:hAnsi="仿宋_GB2312" w:cs="仿宋_GB2312" w:hint="eastAsia"/>
          <w:sz w:val="32"/>
          <w:szCs w:val="32"/>
        </w:rPr>
        <w:t>亿元。</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全年实现保费收入</w:t>
      </w:r>
      <w:r>
        <w:rPr>
          <w:rFonts w:ascii="仿宋_GB2312" w:eastAsia="仿宋_GB2312" w:hAnsi="仿宋_GB2312" w:cs="仿宋_GB2312" w:hint="eastAsia"/>
          <w:sz w:val="32"/>
          <w:szCs w:val="32"/>
        </w:rPr>
        <w:t>55.94</w:t>
      </w:r>
      <w:r>
        <w:rPr>
          <w:rFonts w:ascii="仿宋_GB2312" w:eastAsia="仿宋_GB2312" w:hAnsi="仿宋_GB2312" w:cs="仿宋_GB2312" w:hint="eastAsia"/>
          <w:sz w:val="32"/>
          <w:szCs w:val="32"/>
        </w:rPr>
        <w:t>亿元，比上年增长</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。其中，财产保险保费收入</w:t>
      </w:r>
      <w:r>
        <w:rPr>
          <w:rFonts w:ascii="仿宋_GB2312" w:eastAsia="仿宋_GB2312" w:hAnsi="仿宋_GB2312" w:cs="仿宋_GB2312" w:hint="eastAsia"/>
          <w:sz w:val="32"/>
          <w:szCs w:val="32"/>
        </w:rPr>
        <w:t>16.86</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；人身保险保费收入</w:t>
      </w:r>
      <w:r>
        <w:rPr>
          <w:rFonts w:ascii="仿宋_GB2312" w:eastAsia="仿宋_GB2312" w:hAnsi="仿宋_GB2312" w:cs="仿宋_GB2312" w:hint="eastAsia"/>
          <w:sz w:val="32"/>
          <w:szCs w:val="32"/>
        </w:rPr>
        <w:t>39.08</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。各项赔款和给付金额</w:t>
      </w:r>
      <w:r>
        <w:rPr>
          <w:rFonts w:ascii="仿宋_GB2312" w:eastAsia="仿宋_GB2312" w:hAnsi="仿宋_GB2312" w:cs="仿宋_GB2312" w:hint="eastAsia"/>
          <w:sz w:val="32"/>
          <w:szCs w:val="32"/>
        </w:rPr>
        <w:t>23.18</w:t>
      </w:r>
      <w:r>
        <w:rPr>
          <w:rFonts w:ascii="仿宋_GB2312" w:eastAsia="仿宋_GB2312" w:hAnsi="仿宋_GB2312" w:cs="仿宋_GB2312" w:hint="eastAsia"/>
          <w:sz w:val="32"/>
          <w:szCs w:val="32"/>
        </w:rPr>
        <w:t>亿元，赔付率</w:t>
      </w:r>
      <w:r>
        <w:rPr>
          <w:rFonts w:ascii="仿宋_GB2312" w:eastAsia="仿宋_GB2312" w:hAnsi="仿宋_GB2312" w:cs="仿宋_GB2312" w:hint="eastAsia"/>
          <w:sz w:val="32"/>
          <w:szCs w:val="32"/>
        </w:rPr>
        <w:t>41.4%</w:t>
      </w:r>
      <w:r>
        <w:rPr>
          <w:rFonts w:ascii="仿宋_GB2312" w:eastAsia="仿宋_GB2312" w:hAnsi="仿宋_GB2312" w:cs="仿宋_GB2312" w:hint="eastAsia"/>
          <w:sz w:val="32"/>
          <w:szCs w:val="32"/>
        </w:rPr>
        <w:t>。其中，财产保险赔付</w:t>
      </w:r>
      <w:r>
        <w:rPr>
          <w:rFonts w:ascii="仿宋_GB2312" w:eastAsia="仿宋_GB2312" w:hAnsi="仿宋_GB2312" w:cs="仿宋_GB2312" w:hint="eastAsia"/>
          <w:sz w:val="32"/>
          <w:szCs w:val="32"/>
        </w:rPr>
        <w:t>12.88</w:t>
      </w:r>
      <w:r>
        <w:rPr>
          <w:rFonts w:ascii="仿宋_GB2312" w:eastAsia="仿宋_GB2312" w:hAnsi="仿宋_GB2312" w:cs="仿宋_GB2312" w:hint="eastAsia"/>
          <w:sz w:val="32"/>
          <w:szCs w:val="32"/>
        </w:rPr>
        <w:t>亿元，赔付率</w:t>
      </w:r>
      <w:r>
        <w:rPr>
          <w:rFonts w:ascii="仿宋_GB2312" w:eastAsia="仿宋_GB2312" w:hAnsi="仿宋_GB2312" w:cs="仿宋_GB2312" w:hint="eastAsia"/>
          <w:sz w:val="32"/>
          <w:szCs w:val="32"/>
        </w:rPr>
        <w:t>76.4%</w:t>
      </w:r>
      <w:r>
        <w:rPr>
          <w:rFonts w:ascii="仿宋_GB2312" w:eastAsia="仿宋_GB2312" w:hAnsi="仿宋_GB2312" w:cs="仿宋_GB2312" w:hint="eastAsia"/>
          <w:sz w:val="32"/>
          <w:szCs w:val="32"/>
        </w:rPr>
        <w:t>；人身保险赔付</w:t>
      </w:r>
      <w:r>
        <w:rPr>
          <w:rFonts w:ascii="仿宋_GB2312" w:eastAsia="仿宋_GB2312" w:hAnsi="仿宋_GB2312" w:cs="仿宋_GB2312" w:hint="eastAsia"/>
          <w:sz w:val="32"/>
          <w:szCs w:val="32"/>
        </w:rPr>
        <w:t>10.30</w:t>
      </w:r>
      <w:r>
        <w:rPr>
          <w:rFonts w:ascii="仿宋_GB2312" w:eastAsia="仿宋_GB2312" w:hAnsi="仿宋_GB2312" w:cs="仿宋_GB2312" w:hint="eastAsia"/>
          <w:sz w:val="32"/>
          <w:szCs w:val="32"/>
        </w:rPr>
        <w:t>亿元，赔付率</w:t>
      </w:r>
      <w:r>
        <w:rPr>
          <w:rFonts w:ascii="仿宋_GB2312" w:eastAsia="仿宋_GB2312" w:hAnsi="仿宋_GB2312" w:cs="仿宋_GB2312" w:hint="eastAsia"/>
          <w:sz w:val="32"/>
          <w:szCs w:val="32"/>
        </w:rPr>
        <w:t>26.4%</w:t>
      </w:r>
      <w:r>
        <w:rPr>
          <w:rFonts w:ascii="仿宋_GB2312" w:eastAsia="仿宋_GB2312" w:hAnsi="仿宋_GB2312" w:cs="仿宋_GB2312" w:hint="eastAsia"/>
          <w:sz w:val="32"/>
          <w:szCs w:val="32"/>
        </w:rPr>
        <w:t>。保险深度</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w:t>
      </w:r>
    </w:p>
    <w:p w:rsidR="00B00752" w:rsidRDefault="005F7F5E">
      <w:pPr>
        <w:spacing w:line="560" w:lineRule="exact"/>
        <w:ind w:firstLineChars="200" w:firstLine="640"/>
        <w:jc w:val="left"/>
        <w:rPr>
          <w:rFonts w:ascii="Times New Roman" w:eastAsia="黑体" w:hAnsi="Times New Roman" w:cs="黑体"/>
          <w:sz w:val="30"/>
          <w:szCs w:val="30"/>
        </w:rPr>
      </w:pPr>
      <w:r>
        <w:rPr>
          <w:rFonts w:ascii="Times New Roman" w:eastAsia="黑体" w:hAnsi="Times New Roman" w:cs="黑体" w:hint="eastAsia"/>
          <w:sz w:val="32"/>
          <w:szCs w:val="32"/>
        </w:rPr>
        <w:t>九、</w:t>
      </w:r>
      <w:r>
        <w:rPr>
          <w:rFonts w:ascii="Times New Roman" w:eastAsia="黑体" w:hAnsi="Times New Roman" w:cs="黑体" w:hint="eastAsia"/>
          <w:color w:val="000000" w:themeColor="text1"/>
          <w:sz w:val="32"/>
          <w:szCs w:val="32"/>
        </w:rPr>
        <w:t>人口、人民生活</w:t>
      </w:r>
      <w:r>
        <w:rPr>
          <w:rFonts w:ascii="Times New Roman" w:eastAsia="黑体" w:hAnsi="Times New Roman" w:cs="黑体" w:hint="eastAsia"/>
          <w:sz w:val="32"/>
          <w:szCs w:val="32"/>
        </w:rPr>
        <w:t>和社会保障</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年末户籍人口</w:t>
      </w:r>
      <w:r>
        <w:rPr>
          <w:rFonts w:ascii="仿宋_GB2312" w:eastAsia="仿宋_GB2312" w:hAnsi="仿宋_GB2312" w:cs="仿宋_GB2312" w:hint="eastAsia"/>
          <w:sz w:val="32"/>
          <w:szCs w:val="32"/>
        </w:rPr>
        <w:t>302.82</w:t>
      </w:r>
      <w:r>
        <w:rPr>
          <w:rFonts w:ascii="仿宋_GB2312" w:eastAsia="仿宋_GB2312" w:hAnsi="仿宋_GB2312" w:cs="仿宋_GB2312" w:hint="eastAsia"/>
          <w:sz w:val="32"/>
          <w:szCs w:val="32"/>
        </w:rPr>
        <w:t>万人，户籍人口出生</w:t>
      </w:r>
      <w:r>
        <w:rPr>
          <w:rFonts w:ascii="仿宋_GB2312" w:eastAsia="仿宋_GB2312" w:hAnsi="仿宋_GB2312" w:cs="仿宋_GB2312" w:hint="eastAsia"/>
          <w:sz w:val="32"/>
          <w:szCs w:val="32"/>
        </w:rPr>
        <w:t>2.07</w:t>
      </w:r>
      <w:r>
        <w:rPr>
          <w:rFonts w:ascii="仿宋_GB2312" w:eastAsia="仿宋_GB2312" w:hAnsi="仿宋_GB2312" w:cs="仿宋_GB2312" w:hint="eastAsia"/>
          <w:sz w:val="32"/>
          <w:szCs w:val="32"/>
        </w:rPr>
        <w:t>万人、死亡</w:t>
      </w:r>
      <w:r>
        <w:rPr>
          <w:rFonts w:ascii="仿宋_GB2312" w:eastAsia="仿宋_GB2312" w:hAnsi="仿宋_GB2312" w:cs="仿宋_GB2312" w:hint="eastAsia"/>
          <w:sz w:val="32"/>
          <w:szCs w:val="32"/>
        </w:rPr>
        <w:t>1.68</w:t>
      </w:r>
      <w:r>
        <w:rPr>
          <w:rFonts w:ascii="仿宋_GB2312" w:eastAsia="仿宋_GB2312" w:hAnsi="仿宋_GB2312" w:cs="仿宋_GB2312" w:hint="eastAsia"/>
          <w:sz w:val="32"/>
          <w:szCs w:val="32"/>
        </w:rPr>
        <w:t>万人，人口自然增长率</w:t>
      </w:r>
      <w:r>
        <w:rPr>
          <w:rFonts w:ascii="仿宋_GB2312" w:eastAsia="仿宋_GB2312" w:hAnsi="仿宋_GB2312" w:cs="仿宋_GB2312" w:hint="eastAsia"/>
          <w:sz w:val="32"/>
          <w:szCs w:val="32"/>
        </w:rPr>
        <w:t>1.27</w:t>
      </w:r>
      <w:r>
        <w:rPr>
          <w:rFonts w:ascii="仿宋_GB2312" w:eastAsia="仿宋_GB2312" w:hAnsi="仿宋_GB2312" w:cs="仿宋_GB2312" w:hint="eastAsia"/>
          <w:sz w:val="32"/>
          <w:szCs w:val="32"/>
        </w:rPr>
        <w:t>‰。常住人口</w:t>
      </w:r>
      <w:r>
        <w:rPr>
          <w:rFonts w:ascii="仿宋_GB2312" w:eastAsia="仿宋_GB2312" w:hAnsi="仿宋_GB2312" w:cs="仿宋_GB2312" w:hint="eastAsia"/>
          <w:sz w:val="32"/>
          <w:szCs w:val="32"/>
        </w:rPr>
        <w:t>260.84</w:t>
      </w:r>
      <w:r>
        <w:rPr>
          <w:rFonts w:ascii="仿宋_GB2312" w:eastAsia="仿宋_GB2312" w:hAnsi="仿宋_GB2312" w:cs="仿宋_GB2312" w:hint="eastAsia"/>
          <w:sz w:val="32"/>
          <w:szCs w:val="32"/>
        </w:rPr>
        <w:t>万人，其中，城镇</w:t>
      </w:r>
      <w:r>
        <w:rPr>
          <w:rFonts w:ascii="仿宋_GB2312" w:eastAsia="仿宋_GB2312" w:hAnsi="仿宋_GB2312" w:cs="仿宋_GB2312" w:hint="eastAsia"/>
          <w:sz w:val="32"/>
          <w:szCs w:val="32"/>
        </w:rPr>
        <w:t>153.50</w:t>
      </w:r>
      <w:r>
        <w:rPr>
          <w:rFonts w:ascii="仿宋_GB2312" w:eastAsia="仿宋_GB2312" w:hAnsi="仿宋_GB2312" w:cs="仿宋_GB2312" w:hint="eastAsia"/>
          <w:sz w:val="32"/>
          <w:szCs w:val="32"/>
        </w:rPr>
        <w:t>万人，乡村</w:t>
      </w:r>
      <w:r>
        <w:rPr>
          <w:rFonts w:ascii="仿宋_GB2312" w:eastAsia="仿宋_GB2312" w:hAnsi="仿宋_GB2312" w:cs="仿宋_GB2312" w:hint="eastAsia"/>
          <w:sz w:val="32"/>
          <w:szCs w:val="32"/>
        </w:rPr>
        <w:t>107.34</w:t>
      </w:r>
      <w:r>
        <w:rPr>
          <w:rFonts w:ascii="仿宋_GB2312" w:eastAsia="仿宋_GB2312" w:hAnsi="仿宋_GB2312" w:cs="仿宋_GB2312" w:hint="eastAsia"/>
          <w:sz w:val="32"/>
          <w:szCs w:val="32"/>
        </w:rPr>
        <w:t>万人，常住人口城镇化率</w:t>
      </w:r>
      <w:r>
        <w:rPr>
          <w:rFonts w:ascii="仿宋_GB2312" w:eastAsia="仿宋_GB2312" w:hAnsi="仿宋_GB2312" w:cs="仿宋_GB2312" w:hint="eastAsia"/>
          <w:sz w:val="32"/>
          <w:szCs w:val="32"/>
        </w:rPr>
        <w:t>58.85%</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全年城镇常住居民人均可支配收入</w:t>
      </w:r>
      <w:r>
        <w:rPr>
          <w:rFonts w:ascii="仿宋_GB2312" w:eastAsia="仿宋_GB2312" w:hAnsi="仿宋_GB2312" w:cs="仿宋_GB2312"/>
          <w:sz w:val="32"/>
          <w:szCs w:val="32"/>
          <w:lang w:val="en"/>
        </w:rPr>
        <w:t>40361</w:t>
      </w:r>
      <w:r>
        <w:rPr>
          <w:rFonts w:ascii="仿宋_GB2312" w:eastAsia="仿宋_GB2312" w:hAnsi="仿宋_GB2312" w:cs="仿宋_GB2312" w:hint="eastAsia"/>
          <w:sz w:val="32"/>
          <w:szCs w:val="32"/>
        </w:rPr>
        <w:t>元，比上年增长</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。农村常住居民人均可支配收入</w:t>
      </w:r>
      <w:r>
        <w:rPr>
          <w:rFonts w:ascii="仿宋_GB2312" w:eastAsia="仿宋_GB2312" w:hAnsi="仿宋_GB2312" w:cs="仿宋_GB2312"/>
          <w:sz w:val="32"/>
          <w:szCs w:val="32"/>
          <w:lang w:val="en"/>
        </w:rPr>
        <w:t>21609</w:t>
      </w:r>
      <w:r>
        <w:rPr>
          <w:rFonts w:ascii="仿宋_GB2312" w:eastAsia="仿宋_GB2312" w:hAnsi="仿宋_GB2312" w:cs="仿宋_GB2312" w:hint="eastAsia"/>
          <w:sz w:val="32"/>
          <w:szCs w:val="32"/>
        </w:rPr>
        <w:t>元，增长</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。城乡居民收入比为</w:t>
      </w:r>
      <w:r>
        <w:rPr>
          <w:rFonts w:ascii="仿宋_GB2312" w:eastAsia="仿宋_GB2312" w:hAnsi="仿宋_GB2312" w:cs="仿宋_GB2312" w:hint="eastAsia"/>
          <w:sz w:val="32"/>
          <w:szCs w:val="32"/>
        </w:rPr>
        <w:t>1.87</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全年参加城镇职工基本养老保险</w:t>
      </w:r>
      <w:r>
        <w:rPr>
          <w:rFonts w:ascii="仿宋_GB2312" w:eastAsia="仿宋_GB2312" w:hAnsi="仿宋_GB2312" w:cs="仿宋_GB2312" w:hint="eastAsia"/>
          <w:sz w:val="32"/>
          <w:szCs w:val="32"/>
        </w:rPr>
        <w:t>53.85</w:t>
      </w:r>
      <w:r>
        <w:rPr>
          <w:rFonts w:ascii="仿宋_GB2312" w:eastAsia="仿宋_GB2312" w:hAnsi="仿宋_GB2312" w:cs="仿宋_GB2312" w:hint="eastAsia"/>
          <w:sz w:val="32"/>
          <w:szCs w:val="32"/>
        </w:rPr>
        <w:t>万人，其中，在职职工</w:t>
      </w:r>
      <w:r>
        <w:rPr>
          <w:rFonts w:ascii="仿宋_GB2312" w:eastAsia="仿宋_GB2312" w:hAnsi="仿宋_GB2312" w:cs="仿宋_GB2312" w:hint="eastAsia"/>
          <w:sz w:val="32"/>
          <w:szCs w:val="32"/>
        </w:rPr>
        <w:t>33.74</w:t>
      </w:r>
      <w:r>
        <w:rPr>
          <w:rFonts w:ascii="仿宋_GB2312" w:eastAsia="仿宋_GB2312" w:hAnsi="仿宋_GB2312" w:cs="仿宋_GB2312" w:hint="eastAsia"/>
          <w:sz w:val="32"/>
          <w:szCs w:val="32"/>
        </w:rPr>
        <w:t>万人，离退休人员</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万人；参加城乡居民基本养老保险</w:t>
      </w:r>
      <w:r>
        <w:rPr>
          <w:rFonts w:ascii="仿宋_GB2312" w:eastAsia="仿宋_GB2312" w:hAnsi="仿宋_GB2312" w:cs="仿宋_GB2312" w:hint="eastAsia"/>
          <w:sz w:val="32"/>
          <w:szCs w:val="32"/>
        </w:rPr>
        <w:t>130.23</w:t>
      </w:r>
      <w:r>
        <w:rPr>
          <w:rFonts w:ascii="仿宋_GB2312" w:eastAsia="仿宋_GB2312" w:hAnsi="仿宋_GB2312" w:cs="仿宋_GB2312" w:hint="eastAsia"/>
          <w:sz w:val="32"/>
          <w:szCs w:val="32"/>
        </w:rPr>
        <w:t>万人。参加职工基本医疗</w:t>
      </w:r>
      <w:r>
        <w:rPr>
          <w:rFonts w:ascii="仿宋_GB2312" w:eastAsia="仿宋_GB2312" w:hAnsi="仿宋_GB2312" w:cs="仿宋_GB2312" w:hint="eastAsia"/>
          <w:sz w:val="32"/>
          <w:szCs w:val="32"/>
        </w:rPr>
        <w:t>保险</w:t>
      </w:r>
      <w:r>
        <w:rPr>
          <w:rFonts w:ascii="仿宋_GB2312" w:eastAsia="仿宋_GB2312" w:hAnsi="仿宋_GB2312" w:cs="仿宋_GB2312" w:hint="eastAsia"/>
          <w:sz w:val="32"/>
          <w:szCs w:val="32"/>
        </w:rPr>
        <w:t>33.92</w:t>
      </w:r>
      <w:r>
        <w:rPr>
          <w:rFonts w:ascii="仿宋_GB2312" w:eastAsia="仿宋_GB2312" w:hAnsi="仿宋_GB2312" w:cs="仿宋_GB2312" w:hint="eastAsia"/>
          <w:sz w:val="32"/>
          <w:szCs w:val="32"/>
        </w:rPr>
        <w:t>万人，参加城乡居民基本医疗保险</w:t>
      </w:r>
      <w:r>
        <w:rPr>
          <w:rFonts w:ascii="仿宋_GB2312" w:eastAsia="仿宋_GB2312" w:hAnsi="仿宋_GB2312" w:cs="仿宋_GB2312" w:hint="eastAsia"/>
          <w:sz w:val="32"/>
          <w:szCs w:val="32"/>
        </w:rPr>
        <w:t>223.23</w:t>
      </w:r>
      <w:r>
        <w:rPr>
          <w:rFonts w:ascii="仿宋_GB2312" w:eastAsia="仿宋_GB2312" w:hAnsi="仿宋_GB2312" w:cs="仿宋_GB2312" w:hint="eastAsia"/>
          <w:sz w:val="32"/>
          <w:szCs w:val="32"/>
        </w:rPr>
        <w:t>万人，参加工伤保险</w:t>
      </w:r>
      <w:r>
        <w:rPr>
          <w:rFonts w:ascii="仿宋_GB2312" w:eastAsia="仿宋_GB2312" w:hAnsi="仿宋_GB2312" w:cs="仿宋_GB2312" w:hint="eastAsia"/>
          <w:sz w:val="32"/>
          <w:szCs w:val="32"/>
        </w:rPr>
        <w:t>23.19</w:t>
      </w:r>
      <w:r>
        <w:rPr>
          <w:rFonts w:ascii="仿宋_GB2312" w:eastAsia="仿宋_GB2312" w:hAnsi="仿宋_GB2312" w:cs="仿宋_GB2312" w:hint="eastAsia"/>
          <w:sz w:val="32"/>
          <w:szCs w:val="32"/>
        </w:rPr>
        <w:t>万人，参加生育保险</w:t>
      </w:r>
      <w:r>
        <w:rPr>
          <w:rFonts w:ascii="仿宋_GB2312" w:eastAsia="仿宋_GB2312" w:hAnsi="仿宋_GB2312" w:cs="仿宋_GB2312" w:hint="eastAsia"/>
          <w:sz w:val="32"/>
          <w:szCs w:val="32"/>
        </w:rPr>
        <w:t>22.90</w:t>
      </w:r>
      <w:r>
        <w:rPr>
          <w:rFonts w:ascii="仿宋_GB2312" w:eastAsia="仿宋_GB2312" w:hAnsi="仿宋_GB2312" w:cs="仿宋_GB2312" w:hint="eastAsia"/>
          <w:sz w:val="32"/>
          <w:szCs w:val="32"/>
        </w:rPr>
        <w:t>万人，参加失业保险</w:t>
      </w:r>
      <w:r>
        <w:rPr>
          <w:rFonts w:ascii="仿宋_GB2312" w:eastAsia="仿宋_GB2312" w:hAnsi="仿宋_GB2312" w:cs="仿宋_GB2312" w:hint="eastAsia"/>
          <w:color w:val="FF0000"/>
          <w:sz w:val="32"/>
          <w:szCs w:val="32"/>
        </w:rPr>
        <w:t>20.56</w:t>
      </w:r>
      <w:r>
        <w:rPr>
          <w:rFonts w:ascii="仿宋_GB2312" w:eastAsia="仿宋_GB2312" w:hAnsi="仿宋_GB2312" w:cs="仿宋_GB2312" w:hint="eastAsia"/>
          <w:sz w:val="32"/>
          <w:szCs w:val="32"/>
        </w:rPr>
        <w:t>万人。全年累计领取失业保险金人数</w:t>
      </w:r>
      <w:r>
        <w:rPr>
          <w:rFonts w:ascii="仿宋_GB2312" w:eastAsia="仿宋_GB2312" w:hAnsi="仿宋_GB2312" w:cs="仿宋_GB2312" w:hint="eastAsia"/>
          <w:sz w:val="32"/>
          <w:szCs w:val="32"/>
        </w:rPr>
        <w:t>2.53</w:t>
      </w:r>
      <w:r>
        <w:rPr>
          <w:rFonts w:ascii="仿宋_GB2312" w:eastAsia="仿宋_GB2312" w:hAnsi="仿宋_GB2312" w:cs="仿宋_GB2312" w:hint="eastAsia"/>
          <w:sz w:val="32"/>
          <w:szCs w:val="32"/>
        </w:rPr>
        <w:t>万人。全年福利彩票销售</w:t>
      </w:r>
      <w:r>
        <w:rPr>
          <w:rFonts w:ascii="仿宋_GB2312" w:eastAsia="仿宋_GB2312" w:hAnsi="仿宋_GB2312" w:cs="仿宋_GB2312" w:hint="eastAsia"/>
          <w:sz w:val="32"/>
          <w:szCs w:val="32"/>
        </w:rPr>
        <w:t>2.54</w:t>
      </w:r>
      <w:r>
        <w:rPr>
          <w:rFonts w:ascii="仿宋_GB2312" w:eastAsia="仿宋_GB2312" w:hAnsi="仿宋_GB2312" w:cs="仿宋_GB2312" w:hint="eastAsia"/>
          <w:sz w:val="32"/>
          <w:szCs w:val="32"/>
        </w:rPr>
        <w:t>亿元。</w:t>
      </w:r>
    </w:p>
    <w:p w:rsidR="00B00752" w:rsidRDefault="005F7F5E">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sz w:val="32"/>
          <w:szCs w:val="32"/>
        </w:rPr>
        <w:t>、教育和科学技术</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全年普通高等学校招生</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万人，在校生</w:t>
      </w:r>
      <w:r>
        <w:rPr>
          <w:rFonts w:ascii="仿宋_GB2312" w:eastAsia="仿宋_GB2312" w:hAnsi="仿宋_GB2312" w:cs="仿宋_GB2312" w:hint="eastAsia"/>
          <w:sz w:val="32"/>
          <w:szCs w:val="32"/>
        </w:rPr>
        <w:t>6.51</w:t>
      </w:r>
      <w:r>
        <w:rPr>
          <w:rFonts w:ascii="仿宋_GB2312" w:eastAsia="仿宋_GB2312" w:hAnsi="仿宋_GB2312" w:cs="仿宋_GB2312" w:hint="eastAsia"/>
          <w:sz w:val="32"/>
          <w:szCs w:val="32"/>
        </w:rPr>
        <w:t>万人，毕业生</w:t>
      </w:r>
      <w:r>
        <w:rPr>
          <w:rFonts w:ascii="仿宋_GB2312" w:eastAsia="仿宋_GB2312" w:hAnsi="仿宋_GB2312" w:cs="仿宋_GB2312" w:hint="eastAsia"/>
          <w:sz w:val="32"/>
          <w:szCs w:val="32"/>
        </w:rPr>
        <w:t>1.38</w:t>
      </w:r>
      <w:r>
        <w:rPr>
          <w:rFonts w:ascii="仿宋_GB2312" w:eastAsia="仿宋_GB2312" w:hAnsi="仿宋_GB2312" w:cs="仿宋_GB2312" w:hint="eastAsia"/>
          <w:sz w:val="32"/>
          <w:szCs w:val="32"/>
        </w:rPr>
        <w:t>万人。中等职业教育（不含技校）招生</w:t>
      </w:r>
      <w:r>
        <w:rPr>
          <w:rFonts w:ascii="仿宋_GB2312" w:eastAsia="仿宋_GB2312" w:hAnsi="仿宋_GB2312" w:cs="仿宋_GB2312" w:hint="eastAsia"/>
          <w:sz w:val="32"/>
          <w:szCs w:val="32"/>
        </w:rPr>
        <w:t>0.95</w:t>
      </w:r>
      <w:r>
        <w:rPr>
          <w:rFonts w:ascii="仿宋_GB2312" w:eastAsia="仿宋_GB2312" w:hAnsi="仿宋_GB2312" w:cs="仿宋_GB2312" w:hint="eastAsia"/>
          <w:sz w:val="32"/>
          <w:szCs w:val="32"/>
        </w:rPr>
        <w:t>万人，在校生</w:t>
      </w:r>
      <w:r>
        <w:rPr>
          <w:rFonts w:ascii="仿宋_GB2312" w:eastAsia="仿宋_GB2312" w:hAnsi="仿宋_GB2312" w:cs="仿宋_GB2312" w:hint="eastAsia"/>
          <w:sz w:val="32"/>
          <w:szCs w:val="32"/>
        </w:rPr>
        <w:t>2.88</w:t>
      </w:r>
      <w:r>
        <w:rPr>
          <w:rFonts w:ascii="仿宋_GB2312" w:eastAsia="仿宋_GB2312" w:hAnsi="仿宋_GB2312" w:cs="仿宋_GB2312" w:hint="eastAsia"/>
          <w:sz w:val="32"/>
          <w:szCs w:val="32"/>
        </w:rPr>
        <w:t>万人，毕业生</w:t>
      </w:r>
      <w:r>
        <w:rPr>
          <w:rFonts w:ascii="仿宋_GB2312" w:eastAsia="仿宋_GB2312" w:hAnsi="仿宋_GB2312" w:cs="仿宋_GB2312" w:hint="eastAsia"/>
          <w:sz w:val="32"/>
          <w:szCs w:val="32"/>
        </w:rPr>
        <w:t>0.77</w:t>
      </w:r>
      <w:r>
        <w:rPr>
          <w:rFonts w:ascii="仿宋_GB2312" w:eastAsia="仿宋_GB2312" w:hAnsi="仿宋_GB2312" w:cs="仿宋_GB2312" w:hint="eastAsia"/>
          <w:sz w:val="32"/>
          <w:szCs w:val="32"/>
        </w:rPr>
        <w:t>万人；普通高中招生</w:t>
      </w:r>
      <w:r>
        <w:rPr>
          <w:rFonts w:ascii="仿宋_GB2312" w:eastAsia="仿宋_GB2312" w:hAnsi="仿宋_GB2312" w:cs="仿宋_GB2312" w:hint="eastAsia"/>
          <w:sz w:val="32"/>
          <w:szCs w:val="32"/>
        </w:rPr>
        <w:t>2.32</w:t>
      </w:r>
      <w:r>
        <w:rPr>
          <w:rFonts w:ascii="仿宋_GB2312" w:eastAsia="仿宋_GB2312" w:hAnsi="仿宋_GB2312" w:cs="仿宋_GB2312" w:hint="eastAsia"/>
          <w:sz w:val="32"/>
          <w:szCs w:val="32"/>
        </w:rPr>
        <w:t>万人，在校生</w:t>
      </w:r>
      <w:r>
        <w:rPr>
          <w:rFonts w:ascii="仿宋_GB2312" w:eastAsia="仿宋_GB2312" w:hAnsi="仿宋_GB2312" w:cs="仿宋_GB2312" w:hint="eastAsia"/>
          <w:sz w:val="32"/>
          <w:szCs w:val="32"/>
        </w:rPr>
        <w:t>6.62</w:t>
      </w:r>
      <w:r>
        <w:rPr>
          <w:rFonts w:ascii="仿宋_GB2312" w:eastAsia="仿宋_GB2312" w:hAnsi="仿宋_GB2312" w:cs="仿宋_GB2312" w:hint="eastAsia"/>
          <w:sz w:val="32"/>
          <w:szCs w:val="32"/>
        </w:rPr>
        <w:t>万人，毕业生</w:t>
      </w:r>
      <w:r>
        <w:rPr>
          <w:rFonts w:ascii="仿宋_GB2312" w:eastAsia="仿宋_GB2312" w:hAnsi="仿宋_GB2312" w:cs="仿宋_GB2312" w:hint="eastAsia"/>
          <w:sz w:val="32"/>
          <w:szCs w:val="32"/>
        </w:rPr>
        <w:t>1.98</w:t>
      </w:r>
      <w:r>
        <w:rPr>
          <w:rFonts w:ascii="仿宋_GB2312" w:eastAsia="仿宋_GB2312" w:hAnsi="仿宋_GB2312" w:cs="仿宋_GB2312" w:hint="eastAsia"/>
          <w:sz w:val="32"/>
          <w:szCs w:val="32"/>
        </w:rPr>
        <w:t>万人；普通初中在校生</w:t>
      </w:r>
      <w:r>
        <w:rPr>
          <w:rFonts w:ascii="仿宋_GB2312" w:eastAsia="仿宋_GB2312" w:hAnsi="仿宋_GB2312" w:cs="仿宋_GB2312" w:hint="eastAsia"/>
          <w:sz w:val="32"/>
          <w:szCs w:val="32"/>
        </w:rPr>
        <w:t>12.15</w:t>
      </w:r>
      <w:r>
        <w:rPr>
          <w:rFonts w:ascii="仿宋_GB2312" w:eastAsia="仿宋_GB2312" w:hAnsi="仿宋_GB2312" w:cs="仿宋_GB2312" w:hint="eastAsia"/>
          <w:sz w:val="32"/>
          <w:szCs w:val="32"/>
        </w:rPr>
        <w:t>万人，小学在校生</w:t>
      </w:r>
      <w:r>
        <w:rPr>
          <w:rFonts w:ascii="仿宋_GB2312" w:eastAsia="仿宋_GB2312" w:hAnsi="仿宋_GB2312" w:cs="仿宋_GB2312" w:hint="eastAsia"/>
          <w:sz w:val="32"/>
          <w:szCs w:val="32"/>
        </w:rPr>
        <w:t>23.26</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人，幼儿园在园幼儿</w:t>
      </w:r>
      <w:r>
        <w:rPr>
          <w:rFonts w:ascii="仿宋_GB2312" w:eastAsia="仿宋_GB2312" w:hAnsi="仿宋_GB2312" w:cs="仿宋_GB2312" w:hint="eastAsia"/>
          <w:sz w:val="32"/>
          <w:szCs w:val="32"/>
        </w:rPr>
        <w:t>8.81</w:t>
      </w:r>
      <w:r>
        <w:rPr>
          <w:rFonts w:ascii="仿宋_GB2312" w:eastAsia="仿宋_GB2312" w:hAnsi="仿宋_GB2312" w:cs="仿宋_GB2312" w:hint="eastAsia"/>
          <w:sz w:val="32"/>
          <w:szCs w:val="32"/>
        </w:rPr>
        <w:t>万人。</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全年共登记省、部级以上科技成果</w:t>
      </w:r>
      <w:r>
        <w:rPr>
          <w:rFonts w:ascii="仿宋_GB2312" w:eastAsia="仿宋_GB2312" w:hAnsi="仿宋_GB2312" w:cs="仿宋_GB2312" w:hint="eastAsia"/>
          <w:sz w:val="32"/>
          <w:szCs w:val="32"/>
        </w:rPr>
        <w:t>135</w:t>
      </w:r>
      <w:r>
        <w:rPr>
          <w:rFonts w:ascii="仿宋_GB2312" w:eastAsia="仿宋_GB2312" w:hAnsi="仿宋_GB2312" w:cs="仿宋_GB2312" w:hint="eastAsia"/>
          <w:sz w:val="32"/>
          <w:szCs w:val="32"/>
        </w:rPr>
        <w:t>项，其中，基础理论成果</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项，应用技术成果</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项，软科学研究成果</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项。全年专利授权量</w:t>
      </w:r>
      <w:r>
        <w:rPr>
          <w:rFonts w:ascii="仿宋_GB2312" w:eastAsia="仿宋_GB2312" w:hAnsi="仿宋_GB2312" w:cs="仿宋_GB2312" w:hint="eastAsia"/>
          <w:sz w:val="32"/>
          <w:szCs w:val="32"/>
        </w:rPr>
        <w:t>3526</w:t>
      </w:r>
      <w:r>
        <w:rPr>
          <w:rFonts w:ascii="仿宋_GB2312" w:eastAsia="仿宋_GB2312" w:hAnsi="仿宋_GB2312" w:cs="仿宋_GB2312" w:hint="eastAsia"/>
          <w:sz w:val="32"/>
          <w:szCs w:val="32"/>
        </w:rPr>
        <w:t>项。其中，发明专利授权</w:t>
      </w:r>
      <w:r>
        <w:rPr>
          <w:rFonts w:ascii="仿宋_GB2312" w:eastAsia="仿宋_GB2312" w:hAnsi="仿宋_GB2312" w:cs="仿宋_GB2312" w:hint="eastAsia"/>
          <w:sz w:val="32"/>
          <w:szCs w:val="32"/>
        </w:rPr>
        <w:t>275</w:t>
      </w:r>
      <w:r>
        <w:rPr>
          <w:rFonts w:ascii="仿宋_GB2312" w:eastAsia="仿宋_GB2312" w:hAnsi="仿宋_GB2312" w:cs="仿宋_GB2312" w:hint="eastAsia"/>
          <w:sz w:val="32"/>
          <w:szCs w:val="32"/>
        </w:rPr>
        <w:t>项。签订技术合同</w:t>
      </w:r>
      <w:r>
        <w:rPr>
          <w:rFonts w:ascii="仿宋_GB2312" w:eastAsia="仿宋_GB2312" w:hAnsi="仿宋_GB2312" w:cs="仿宋_GB2312" w:hint="eastAsia"/>
          <w:sz w:val="32"/>
          <w:szCs w:val="32"/>
        </w:rPr>
        <w:t>3763</w:t>
      </w:r>
      <w:r>
        <w:rPr>
          <w:rFonts w:ascii="仿宋_GB2312" w:eastAsia="仿宋_GB2312" w:hAnsi="仿宋_GB2312" w:cs="仿宋_GB2312" w:hint="eastAsia"/>
          <w:sz w:val="32"/>
          <w:szCs w:val="32"/>
        </w:rPr>
        <w:t>项，技术合同成交额</w:t>
      </w:r>
      <w:r>
        <w:rPr>
          <w:rFonts w:ascii="仿宋_GB2312" w:eastAsia="仿宋_GB2312" w:hAnsi="仿宋_GB2312" w:cs="仿宋_GB2312" w:hint="eastAsia"/>
          <w:sz w:val="32"/>
          <w:szCs w:val="32"/>
        </w:rPr>
        <w:t>171.40</w:t>
      </w:r>
      <w:r>
        <w:rPr>
          <w:rFonts w:ascii="仿宋_GB2312" w:eastAsia="仿宋_GB2312" w:hAnsi="仿宋_GB2312" w:cs="仿宋_GB2312" w:hint="eastAsia"/>
          <w:sz w:val="32"/>
          <w:szCs w:val="32"/>
        </w:rPr>
        <w:t>亿元。</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年末气象台站</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个，卫星云图接收站点数</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个，地震台站</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个，地震烈度速报点</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处。</w:t>
      </w:r>
    </w:p>
    <w:p w:rsidR="00B00752" w:rsidRDefault="005F7F5E">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十</w:t>
      </w:r>
      <w:r>
        <w:rPr>
          <w:rFonts w:ascii="Times New Roman" w:eastAsia="黑体" w:hAnsi="Times New Roman" w:cs="Times New Roman" w:hint="eastAsia"/>
          <w:sz w:val="32"/>
          <w:szCs w:val="32"/>
        </w:rPr>
        <w:t>一</w:t>
      </w:r>
      <w:r>
        <w:rPr>
          <w:rFonts w:ascii="Times New Roman" w:eastAsia="黑体" w:hAnsi="Times New Roman" w:cs="Times New Roman"/>
          <w:sz w:val="32"/>
          <w:szCs w:val="32"/>
        </w:rPr>
        <w:t>、文化</w:t>
      </w:r>
      <w:r>
        <w:rPr>
          <w:rFonts w:ascii="Times New Roman" w:eastAsia="黑体" w:hAnsi="Times New Roman" w:cs="Times New Roman" w:hint="eastAsia"/>
          <w:sz w:val="32"/>
          <w:szCs w:val="32"/>
        </w:rPr>
        <w:t>旅游</w:t>
      </w:r>
      <w:r>
        <w:rPr>
          <w:rFonts w:ascii="Times New Roman" w:eastAsia="黑体" w:hAnsi="Times New Roman" w:cs="Times New Roman"/>
          <w:sz w:val="32"/>
          <w:szCs w:val="32"/>
        </w:rPr>
        <w:t>、卫生</w:t>
      </w:r>
      <w:r>
        <w:rPr>
          <w:rFonts w:ascii="Times New Roman" w:eastAsia="黑体" w:hAnsi="Times New Roman" w:cs="Times New Roman" w:hint="eastAsia"/>
          <w:sz w:val="32"/>
          <w:szCs w:val="32"/>
        </w:rPr>
        <w:t>健康</w:t>
      </w:r>
      <w:r>
        <w:rPr>
          <w:rFonts w:ascii="Times New Roman" w:eastAsia="黑体" w:hAnsi="Times New Roman" w:cs="Times New Roman"/>
          <w:sz w:val="32"/>
          <w:szCs w:val="32"/>
        </w:rPr>
        <w:t>和体育</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年末群艺馆、文化馆（站）</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个，博物馆</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个，公共图书馆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个，香城书房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个，公共图书馆藏书</w:t>
      </w:r>
      <w:r>
        <w:rPr>
          <w:rFonts w:ascii="仿宋_GB2312" w:eastAsia="仿宋_GB2312" w:hAnsi="仿宋_GB2312" w:cs="仿宋_GB2312" w:hint="eastAsia"/>
          <w:sz w:val="32"/>
          <w:szCs w:val="32"/>
        </w:rPr>
        <w:t>335.61</w:t>
      </w:r>
      <w:r>
        <w:rPr>
          <w:rFonts w:ascii="仿宋_GB2312" w:eastAsia="仿宋_GB2312" w:hAnsi="仿宋_GB2312" w:cs="仿宋_GB2312" w:hint="eastAsia"/>
          <w:sz w:val="32"/>
          <w:szCs w:val="32"/>
        </w:rPr>
        <w:t>万册。广播电视台</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座，广播节目综合人口覆盖率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，电视节目综合人口覆盖率</w:t>
      </w:r>
      <w:r>
        <w:rPr>
          <w:rFonts w:ascii="仿宋_GB2312" w:eastAsia="仿宋_GB2312" w:hAnsi="仿宋_GB2312" w:cs="仿宋_GB2312" w:hint="eastAsia"/>
          <w:sz w:val="32"/>
          <w:szCs w:val="32"/>
        </w:rPr>
        <w:t>99.99%</w:t>
      </w:r>
      <w:r>
        <w:rPr>
          <w:rFonts w:ascii="仿宋_GB2312" w:eastAsia="仿宋_GB2312" w:hAnsi="仿宋_GB2312" w:cs="仿宋_GB2312" w:hint="eastAsia"/>
          <w:sz w:val="32"/>
          <w:szCs w:val="32"/>
        </w:rPr>
        <w:t>。档案馆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个，馆藏档案卷宗</w:t>
      </w:r>
      <w:r>
        <w:rPr>
          <w:rFonts w:ascii="仿宋_GB2312" w:eastAsia="仿宋_GB2312" w:hAnsi="仿宋_GB2312" w:cs="仿宋_GB2312" w:hint="eastAsia"/>
          <w:sz w:val="32"/>
          <w:szCs w:val="32"/>
        </w:rPr>
        <w:t>1248</w:t>
      </w:r>
      <w:r>
        <w:rPr>
          <w:rFonts w:ascii="仿宋_GB2312" w:eastAsia="仿宋_GB2312" w:hAnsi="仿宋_GB2312" w:cs="仿宋_GB2312" w:hint="eastAsia"/>
          <w:sz w:val="32"/>
          <w:szCs w:val="32"/>
        </w:rPr>
        <w:t>个，全年利用档案人次</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万人次。规模以上文化及相关产业企业营业收入</w:t>
      </w:r>
      <w:r>
        <w:rPr>
          <w:rFonts w:ascii="仿宋_GB2312" w:eastAsia="仿宋_GB2312" w:hAnsi="仿宋_GB2312" w:cs="仿宋_GB2312" w:hint="eastAsia"/>
          <w:sz w:val="32"/>
          <w:szCs w:val="32"/>
        </w:rPr>
        <w:t>123.70</w:t>
      </w:r>
      <w:r>
        <w:rPr>
          <w:rFonts w:ascii="仿宋_GB2312" w:eastAsia="仿宋_GB2312" w:hAnsi="仿宋_GB2312" w:cs="仿宋_GB2312" w:hint="eastAsia"/>
          <w:sz w:val="32"/>
          <w:szCs w:val="32"/>
        </w:rPr>
        <w:t>亿元。</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级以上旅游景区</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个。全年接待旅游人数</w:t>
      </w:r>
      <w:r>
        <w:rPr>
          <w:rFonts w:ascii="仿宋_GB2312" w:eastAsia="仿宋_GB2312" w:hAnsi="仿宋_GB2312" w:cs="仿宋_GB2312" w:hint="eastAsia"/>
          <w:sz w:val="32"/>
          <w:szCs w:val="32"/>
        </w:rPr>
        <w:t>8156.38</w:t>
      </w:r>
      <w:r>
        <w:rPr>
          <w:rFonts w:ascii="仿宋_GB2312" w:eastAsia="仿宋_GB2312" w:hAnsi="仿宋_GB2312" w:cs="仿宋_GB2312" w:hint="eastAsia"/>
          <w:sz w:val="32"/>
          <w:szCs w:val="32"/>
        </w:rPr>
        <w:t>万人次，比上年增长</w:t>
      </w:r>
      <w:r>
        <w:rPr>
          <w:rFonts w:ascii="仿宋_GB2312" w:eastAsia="仿宋_GB2312" w:hAnsi="仿宋_GB2312" w:cs="仿宋_GB2312" w:hint="eastAsia"/>
          <w:sz w:val="32"/>
          <w:szCs w:val="32"/>
        </w:rPr>
        <w:t>21.4%</w:t>
      </w:r>
      <w:r>
        <w:rPr>
          <w:rFonts w:ascii="仿宋_GB2312" w:eastAsia="仿宋_GB2312" w:hAnsi="仿宋_GB2312" w:cs="仿宋_GB2312" w:hint="eastAsia"/>
          <w:sz w:val="32"/>
          <w:szCs w:val="32"/>
        </w:rPr>
        <w:t>。旅游总收入</w:t>
      </w:r>
      <w:r>
        <w:rPr>
          <w:rFonts w:ascii="仿宋_GB2312" w:eastAsia="仿宋_GB2312" w:hAnsi="仿宋_GB2312" w:cs="仿宋_GB2312" w:hint="eastAsia"/>
          <w:sz w:val="32"/>
          <w:szCs w:val="32"/>
        </w:rPr>
        <w:t>415.37</w:t>
      </w:r>
      <w:r>
        <w:rPr>
          <w:rFonts w:ascii="仿宋_GB2312" w:eastAsia="仿宋_GB2312" w:hAnsi="仿宋_GB2312" w:cs="仿宋_GB2312" w:hint="eastAsia"/>
          <w:sz w:val="32"/>
          <w:szCs w:val="32"/>
        </w:rPr>
        <w:t>亿元，增长</w:t>
      </w:r>
      <w:r>
        <w:rPr>
          <w:rFonts w:ascii="仿宋_GB2312" w:eastAsia="仿宋_GB2312" w:hAnsi="仿宋_GB2312" w:cs="仿宋_GB2312" w:hint="eastAsia"/>
          <w:sz w:val="32"/>
          <w:szCs w:val="32"/>
        </w:rPr>
        <w:t>24.4%</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全市卫生机构</w:t>
      </w:r>
      <w:r>
        <w:rPr>
          <w:rFonts w:ascii="仿宋_GB2312" w:eastAsia="仿宋_GB2312" w:hAnsi="仿宋_GB2312" w:cs="仿宋_GB2312" w:hint="eastAsia"/>
          <w:sz w:val="32"/>
          <w:szCs w:val="32"/>
        </w:rPr>
        <w:t>1484</w:t>
      </w:r>
      <w:r>
        <w:rPr>
          <w:rFonts w:ascii="仿宋_GB2312" w:eastAsia="仿宋_GB2312" w:hAnsi="仿宋_GB2312" w:cs="仿宋_GB2312" w:hint="eastAsia"/>
          <w:sz w:val="32"/>
          <w:szCs w:val="32"/>
        </w:rPr>
        <w:t>家。其中，医院</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家，基层医疗卫生机构</w:t>
      </w:r>
      <w:r>
        <w:rPr>
          <w:rFonts w:ascii="仿宋_GB2312" w:eastAsia="仿宋_GB2312" w:hAnsi="仿宋_GB2312" w:cs="仿宋_GB2312" w:hint="eastAsia"/>
          <w:sz w:val="32"/>
          <w:szCs w:val="32"/>
        </w:rPr>
        <w:t>138</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家，专业公共卫生机构</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家；卫生技术人员</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万人。其中，执业（助理）医师</w:t>
      </w:r>
      <w:r>
        <w:rPr>
          <w:rFonts w:ascii="仿宋_GB2312" w:eastAsia="仿宋_GB2312" w:hAnsi="仿宋_GB2312" w:cs="仿宋_GB2312" w:hint="eastAsia"/>
          <w:sz w:val="32"/>
          <w:szCs w:val="32"/>
        </w:rPr>
        <w:t>0.81</w:t>
      </w:r>
      <w:r>
        <w:rPr>
          <w:rFonts w:ascii="仿宋_GB2312" w:eastAsia="仿宋_GB2312" w:hAnsi="仿宋_GB2312" w:cs="仿宋_GB2312" w:hint="eastAsia"/>
          <w:sz w:val="32"/>
          <w:szCs w:val="32"/>
        </w:rPr>
        <w:t>万人，注册护士</w:t>
      </w:r>
      <w:r>
        <w:rPr>
          <w:rFonts w:ascii="仿宋_GB2312" w:eastAsia="仿宋_GB2312" w:hAnsi="仿宋_GB2312" w:cs="仿宋_GB2312" w:hint="eastAsia"/>
          <w:sz w:val="32"/>
          <w:szCs w:val="32"/>
        </w:rPr>
        <w:t>0.95</w:t>
      </w:r>
      <w:r>
        <w:rPr>
          <w:rFonts w:ascii="仿宋_GB2312" w:eastAsia="仿宋_GB2312" w:hAnsi="仿宋_GB2312" w:cs="仿宋_GB2312" w:hint="eastAsia"/>
          <w:sz w:val="32"/>
          <w:szCs w:val="32"/>
        </w:rPr>
        <w:t>万人；医疗卫生机构床位数</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万张。其中，医院床位</w:t>
      </w:r>
      <w:r>
        <w:rPr>
          <w:rFonts w:ascii="仿宋_GB2312" w:eastAsia="仿宋_GB2312" w:hAnsi="仿宋_GB2312" w:cs="仿宋_GB2312" w:hint="eastAsia"/>
          <w:sz w:val="32"/>
          <w:szCs w:val="32"/>
        </w:rPr>
        <w:t>1.43</w:t>
      </w:r>
      <w:r>
        <w:rPr>
          <w:rFonts w:ascii="仿宋_GB2312" w:eastAsia="仿宋_GB2312" w:hAnsi="仿宋_GB2312" w:cs="仿宋_GB2312" w:hint="eastAsia"/>
          <w:sz w:val="32"/>
          <w:szCs w:val="32"/>
        </w:rPr>
        <w:t>万张，基层卫生机构床位</w:t>
      </w:r>
      <w:r>
        <w:rPr>
          <w:rFonts w:ascii="仿宋_GB2312" w:eastAsia="仿宋_GB2312" w:hAnsi="仿宋_GB2312" w:cs="仿宋_GB2312" w:hint="eastAsia"/>
          <w:sz w:val="32"/>
          <w:szCs w:val="32"/>
        </w:rPr>
        <w:t>0.43</w:t>
      </w:r>
      <w:r>
        <w:rPr>
          <w:rFonts w:ascii="仿宋_GB2312" w:eastAsia="仿宋_GB2312" w:hAnsi="仿宋_GB2312" w:cs="仿宋_GB2312" w:hint="eastAsia"/>
          <w:sz w:val="32"/>
          <w:szCs w:val="32"/>
        </w:rPr>
        <w:t>万张，专业公共卫生机构床位</w:t>
      </w:r>
      <w:r>
        <w:rPr>
          <w:rFonts w:ascii="仿宋_GB2312" w:eastAsia="仿宋_GB2312" w:hAnsi="仿宋_GB2312" w:cs="仿宋_GB2312" w:hint="eastAsia"/>
          <w:sz w:val="32"/>
          <w:szCs w:val="32"/>
        </w:rPr>
        <w:t>0.15</w:t>
      </w:r>
      <w:r>
        <w:rPr>
          <w:rFonts w:ascii="仿宋_GB2312" w:eastAsia="仿宋_GB2312" w:hAnsi="仿宋_GB2312" w:cs="仿宋_GB2312" w:hint="eastAsia"/>
          <w:sz w:val="32"/>
          <w:szCs w:val="32"/>
        </w:rPr>
        <w:t>万张；全年总诊疗人次</w:t>
      </w:r>
      <w:r>
        <w:rPr>
          <w:rFonts w:ascii="仿宋_GB2312" w:eastAsia="仿宋_GB2312" w:hAnsi="仿宋_GB2312" w:cs="仿宋_GB2312" w:hint="eastAsia"/>
          <w:sz w:val="32"/>
          <w:szCs w:val="32"/>
        </w:rPr>
        <w:t>1537</w:t>
      </w:r>
      <w:r>
        <w:rPr>
          <w:rFonts w:ascii="仿宋_GB2312" w:eastAsia="仿宋_GB2312" w:hAnsi="仿宋_GB2312" w:cs="仿宋_GB2312" w:hint="eastAsia"/>
          <w:sz w:val="32"/>
          <w:szCs w:val="32"/>
        </w:rPr>
        <w:t>万人次。</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年末体育场地</w:t>
      </w:r>
      <w:r>
        <w:rPr>
          <w:rFonts w:ascii="仿宋_GB2312" w:eastAsia="仿宋_GB2312" w:hAnsi="仿宋_GB2312" w:cs="仿宋_GB2312" w:hint="eastAsia"/>
          <w:sz w:val="32"/>
          <w:szCs w:val="32"/>
        </w:rPr>
        <w:t>9598</w:t>
      </w:r>
      <w:r>
        <w:rPr>
          <w:rFonts w:ascii="仿宋_GB2312" w:eastAsia="仿宋_GB2312" w:hAnsi="仿宋_GB2312" w:cs="仿宋_GB2312" w:hint="eastAsia"/>
          <w:sz w:val="32"/>
          <w:szCs w:val="32"/>
        </w:rPr>
        <w:t>个，人均体育场地面积</w:t>
      </w:r>
      <w:r>
        <w:rPr>
          <w:rFonts w:ascii="仿宋_GB2312" w:eastAsia="仿宋_GB2312" w:hAnsi="仿宋_GB2312" w:cs="仿宋_GB2312" w:hint="eastAsia"/>
          <w:sz w:val="32"/>
          <w:szCs w:val="32"/>
        </w:rPr>
        <w:t>2.86</w:t>
      </w:r>
      <w:r>
        <w:rPr>
          <w:rFonts w:ascii="仿宋_GB2312" w:eastAsia="仿宋_GB2312" w:hAnsi="仿宋_GB2312" w:cs="仿宋_GB2312" w:hint="eastAsia"/>
          <w:sz w:val="32"/>
          <w:szCs w:val="32"/>
        </w:rPr>
        <w:t>平方米。全年举办各类体育活动</w:t>
      </w: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次，活动总人数</w:t>
      </w:r>
      <w:r>
        <w:rPr>
          <w:rFonts w:ascii="仿宋_GB2312" w:eastAsia="仿宋_GB2312" w:hAnsi="仿宋_GB2312" w:cs="仿宋_GB2312" w:hint="eastAsia"/>
          <w:sz w:val="32"/>
          <w:szCs w:val="32"/>
        </w:rPr>
        <w:t>7.03</w:t>
      </w:r>
      <w:r>
        <w:rPr>
          <w:rFonts w:ascii="仿宋_GB2312" w:eastAsia="仿宋_GB2312" w:hAnsi="仿宋_GB2312" w:cs="仿宋_GB2312" w:hint="eastAsia"/>
          <w:sz w:val="32"/>
          <w:szCs w:val="32"/>
        </w:rPr>
        <w:t>万人。参加国际比赛获得冠军</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项次、亚军</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项次。全国比赛获得冠军</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项次，亚军</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项次，季军</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项次。全年销售体育彩票</w:t>
      </w:r>
      <w:r>
        <w:rPr>
          <w:rFonts w:ascii="仿宋_GB2312" w:eastAsia="仿宋_GB2312" w:hAnsi="仿宋_GB2312" w:cs="仿宋_GB2312" w:hint="eastAsia"/>
          <w:sz w:val="32"/>
          <w:szCs w:val="32"/>
        </w:rPr>
        <w:t>4.92</w:t>
      </w:r>
      <w:r>
        <w:rPr>
          <w:rFonts w:ascii="仿宋_GB2312" w:eastAsia="仿宋_GB2312" w:hAnsi="仿宋_GB2312" w:cs="仿宋_GB2312" w:hint="eastAsia"/>
          <w:sz w:val="32"/>
          <w:szCs w:val="32"/>
        </w:rPr>
        <w:t>亿元。</w:t>
      </w:r>
    </w:p>
    <w:p w:rsidR="00B00752" w:rsidRDefault="005F7F5E">
      <w:pPr>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黑体" w:hAnsi="Times New Roman" w:cs="Times New Roman"/>
          <w:sz w:val="32"/>
          <w:szCs w:val="32"/>
        </w:rPr>
        <w:t>十二、资源环</w:t>
      </w:r>
      <w:r>
        <w:rPr>
          <w:rFonts w:ascii="Times New Roman" w:eastAsia="黑体" w:hAnsi="Times New Roman" w:cs="Times New Roman"/>
          <w:sz w:val="32"/>
          <w:szCs w:val="32"/>
        </w:rPr>
        <w:t>境和安全生产</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全年国有建设用地供应总量</w:t>
      </w:r>
      <w:r>
        <w:rPr>
          <w:rFonts w:ascii="仿宋_GB2312" w:eastAsia="仿宋_GB2312" w:hAnsi="仿宋_GB2312" w:cs="仿宋_GB2312" w:hint="eastAsia"/>
          <w:sz w:val="32"/>
          <w:szCs w:val="32"/>
        </w:rPr>
        <w:t>1344.47</w:t>
      </w:r>
      <w:r>
        <w:rPr>
          <w:rFonts w:ascii="仿宋_GB2312" w:eastAsia="仿宋_GB2312" w:hAnsi="仿宋_GB2312" w:cs="仿宋_GB2312" w:hint="eastAsia"/>
          <w:sz w:val="32"/>
          <w:szCs w:val="32"/>
        </w:rPr>
        <w:t>公顷。其中，工矿仓储用地</w:t>
      </w:r>
      <w:r>
        <w:rPr>
          <w:rFonts w:ascii="仿宋_GB2312" w:eastAsia="仿宋_GB2312" w:hAnsi="仿宋_GB2312" w:cs="仿宋_GB2312" w:hint="eastAsia"/>
          <w:sz w:val="32"/>
          <w:szCs w:val="32"/>
        </w:rPr>
        <w:t>315.67</w:t>
      </w:r>
      <w:r>
        <w:rPr>
          <w:rFonts w:ascii="仿宋_GB2312" w:eastAsia="仿宋_GB2312" w:hAnsi="仿宋_GB2312" w:cs="仿宋_GB2312" w:hint="eastAsia"/>
          <w:sz w:val="32"/>
          <w:szCs w:val="32"/>
        </w:rPr>
        <w:t>公顷，房地产用地</w:t>
      </w:r>
      <w:r>
        <w:rPr>
          <w:rFonts w:ascii="仿宋_GB2312" w:eastAsia="仿宋_GB2312" w:hAnsi="仿宋_GB2312" w:cs="仿宋_GB2312" w:hint="eastAsia"/>
          <w:sz w:val="32"/>
          <w:szCs w:val="32"/>
        </w:rPr>
        <w:t>312.91</w:t>
      </w:r>
      <w:r>
        <w:rPr>
          <w:rFonts w:ascii="仿宋_GB2312" w:eastAsia="仿宋_GB2312" w:hAnsi="仿宋_GB2312" w:cs="仿宋_GB2312" w:hint="eastAsia"/>
          <w:sz w:val="32"/>
          <w:szCs w:val="32"/>
        </w:rPr>
        <w:t>公顷，基础设施用地</w:t>
      </w:r>
      <w:r>
        <w:rPr>
          <w:rFonts w:ascii="仿宋_GB2312" w:eastAsia="仿宋_GB2312" w:hAnsi="仿宋_GB2312" w:cs="仿宋_GB2312" w:hint="eastAsia"/>
          <w:sz w:val="32"/>
          <w:szCs w:val="32"/>
        </w:rPr>
        <w:t>715.89</w:t>
      </w:r>
      <w:r>
        <w:rPr>
          <w:rFonts w:ascii="仿宋_GB2312" w:eastAsia="仿宋_GB2312" w:hAnsi="仿宋_GB2312" w:cs="仿宋_GB2312" w:hint="eastAsia"/>
          <w:sz w:val="32"/>
          <w:szCs w:val="32"/>
        </w:rPr>
        <w:t>公顷。</w:t>
      </w:r>
      <w:r>
        <w:rPr>
          <w:rFonts w:ascii="仿宋_GB2312" w:eastAsia="仿宋_GB2312" w:hAnsi="仿宋_GB2312" w:cs="仿宋_GB2312" w:hint="eastAsia"/>
          <w:sz w:val="32"/>
          <w:szCs w:val="32"/>
        </w:rPr>
        <w:t xml:space="preserve"> </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全年完成造林面积（含人工造林、封山育林、退化林修复）</w:t>
      </w:r>
      <w:r>
        <w:rPr>
          <w:rFonts w:ascii="仿宋_GB2312" w:eastAsia="仿宋_GB2312" w:hAnsi="仿宋_GB2312" w:cs="仿宋_GB2312" w:hint="eastAsia"/>
          <w:sz w:val="32"/>
          <w:szCs w:val="32"/>
        </w:rPr>
        <w:t>46.99</w:t>
      </w:r>
      <w:r>
        <w:rPr>
          <w:rFonts w:ascii="仿宋_GB2312" w:eastAsia="仿宋_GB2312" w:hAnsi="仿宋_GB2312" w:cs="仿宋_GB2312" w:hint="eastAsia"/>
          <w:sz w:val="32"/>
          <w:szCs w:val="32"/>
        </w:rPr>
        <w:t>万亩。年末共有自然保护区（含自然保护小区）</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个。其中，国家级自然生态保护区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个，省级自然生态保护区</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个。</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全市城区环境空气质量优良率为</w:t>
      </w:r>
      <w:r>
        <w:rPr>
          <w:rFonts w:ascii="仿宋_GB2312" w:eastAsia="仿宋_GB2312" w:hAnsi="仿宋_GB2312" w:cs="仿宋_GB2312" w:hint="eastAsia"/>
          <w:sz w:val="32"/>
          <w:szCs w:val="32"/>
        </w:rPr>
        <w:t>87.4%</w:t>
      </w:r>
      <w:r>
        <w:rPr>
          <w:rFonts w:ascii="仿宋_GB2312" w:eastAsia="仿宋_GB2312" w:hAnsi="仿宋_GB2312" w:cs="仿宋_GB2312" w:hint="eastAsia"/>
          <w:sz w:val="32"/>
          <w:szCs w:val="32"/>
        </w:rPr>
        <w:t>，比上年上升</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个百分点。全市</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个国省控水质断面中，水质优良（达到或优于Ⅲ类）断面</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个，优良率</w:t>
      </w:r>
      <w:r>
        <w:rPr>
          <w:rFonts w:ascii="仿宋_GB2312" w:eastAsia="仿宋_GB2312" w:hAnsi="仿宋_GB2312" w:cs="仿宋_GB2312" w:hint="eastAsia"/>
          <w:sz w:val="32"/>
          <w:szCs w:val="32"/>
        </w:rPr>
        <w:t>95.4%</w:t>
      </w:r>
      <w:r>
        <w:rPr>
          <w:rFonts w:ascii="仿宋_GB2312" w:eastAsia="仿宋_GB2312" w:hAnsi="仿宋_GB2312" w:cs="仿宋_GB2312" w:hint="eastAsia"/>
          <w:sz w:val="32"/>
          <w:szCs w:val="32"/>
        </w:rPr>
        <w:t>，无劣Ⅴ类水体；</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个县级以上城市集中</w:t>
      </w:r>
      <w:r>
        <w:rPr>
          <w:rFonts w:ascii="仿宋_GB2312" w:eastAsia="仿宋_GB2312" w:hAnsi="仿宋_GB2312" w:cs="仿宋_GB2312" w:hint="eastAsia"/>
          <w:sz w:val="32"/>
          <w:szCs w:val="32"/>
        </w:rPr>
        <w:t>式饮用水水源地水质达标率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。全年市区累计降水量</w:t>
      </w:r>
      <w:r>
        <w:rPr>
          <w:rFonts w:ascii="仿宋_GB2312" w:eastAsia="仿宋_GB2312" w:hAnsi="仿宋_GB2312" w:cs="仿宋_GB2312" w:hint="eastAsia"/>
          <w:sz w:val="32"/>
          <w:szCs w:val="32"/>
        </w:rPr>
        <w:t>1494mm</w:t>
      </w:r>
      <w:r>
        <w:rPr>
          <w:rFonts w:ascii="仿宋_GB2312" w:eastAsia="仿宋_GB2312" w:hAnsi="仿宋_GB2312" w:cs="仿宋_GB2312" w:hint="eastAsia"/>
          <w:sz w:val="32"/>
          <w:szCs w:val="32"/>
        </w:rPr>
        <w:t>，年平均气温</w:t>
      </w:r>
      <w:r>
        <w:rPr>
          <w:rFonts w:ascii="仿宋_GB2312" w:eastAsia="仿宋_GB2312" w:hAnsi="仿宋_GB2312" w:cs="仿宋_GB2312" w:hint="eastAsia"/>
          <w:sz w:val="32"/>
          <w:szCs w:val="32"/>
        </w:rPr>
        <w:t>18.1</w:t>
      </w:r>
      <w:r>
        <w:rPr>
          <w:rFonts w:ascii="仿宋_GB2312" w:eastAsia="仿宋_GB2312" w:hAnsi="仿宋_GB2312" w:cs="仿宋_GB2312" w:hint="eastAsia"/>
          <w:sz w:val="32"/>
          <w:szCs w:val="32"/>
        </w:rPr>
        <w:t>℃。</w:t>
      </w:r>
    </w:p>
    <w:p w:rsidR="00B00752" w:rsidRDefault="005F7F5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全年各类安全生产事故死亡</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人，比上年下降</w:t>
      </w:r>
      <w:r>
        <w:rPr>
          <w:rFonts w:ascii="仿宋_GB2312" w:eastAsia="仿宋_GB2312" w:hAnsi="仿宋_GB2312" w:cs="仿宋_GB2312" w:hint="eastAsia"/>
          <w:sz w:val="32"/>
          <w:szCs w:val="32"/>
        </w:rPr>
        <w:t>31.3%</w:t>
      </w:r>
      <w:r>
        <w:rPr>
          <w:rFonts w:ascii="仿宋_GB2312" w:eastAsia="仿宋_GB2312" w:hAnsi="仿宋_GB2312" w:cs="仿宋_GB2312" w:hint="eastAsia"/>
          <w:sz w:val="32"/>
          <w:szCs w:val="32"/>
        </w:rPr>
        <w:t>。其中，工矿企业事故死亡</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人，道路运输事故死亡</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人。亿元</w:t>
      </w:r>
      <w:r>
        <w:rPr>
          <w:rFonts w:ascii="仿宋_GB2312" w:eastAsia="仿宋_GB2312" w:hAnsi="仿宋_GB2312" w:cs="仿宋_GB2312" w:hint="eastAsia"/>
          <w:sz w:val="32"/>
          <w:szCs w:val="32"/>
        </w:rPr>
        <w:t>GDP</w:t>
      </w:r>
      <w:r>
        <w:rPr>
          <w:rFonts w:ascii="仿宋_GB2312" w:eastAsia="仿宋_GB2312" w:hAnsi="仿宋_GB2312" w:cs="仿宋_GB2312" w:hint="eastAsia"/>
          <w:sz w:val="32"/>
          <w:szCs w:val="32"/>
        </w:rPr>
        <w:t>生产事故死亡率</w:t>
      </w:r>
      <w:r>
        <w:rPr>
          <w:rFonts w:ascii="仿宋_GB2312" w:eastAsia="仿宋_GB2312" w:hAnsi="仿宋_GB2312" w:cs="仿宋_GB2312" w:hint="eastAsia"/>
          <w:sz w:val="32"/>
          <w:szCs w:val="32"/>
        </w:rPr>
        <w:t>0.024</w:t>
      </w:r>
      <w:r>
        <w:rPr>
          <w:rFonts w:ascii="仿宋_GB2312" w:eastAsia="仿宋_GB2312" w:hAnsi="仿宋_GB2312" w:cs="仿宋_GB2312" w:hint="eastAsia"/>
          <w:sz w:val="32"/>
          <w:szCs w:val="32"/>
        </w:rPr>
        <w:t>，比上年下降</w:t>
      </w:r>
      <w:r w:rsidR="00B55EDE">
        <w:rPr>
          <w:rFonts w:ascii="仿宋_GB2312" w:eastAsia="仿宋_GB2312" w:hAnsi="仿宋_GB2312" w:cs="仿宋_GB2312"/>
          <w:sz w:val="32"/>
          <w:szCs w:val="32"/>
        </w:rPr>
        <w:t>33.3</w:t>
      </w:r>
      <w:bookmarkStart w:id="0" w:name="_GoBack"/>
      <w:bookmarkEnd w:id="0"/>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00752" w:rsidRDefault="00B00752">
      <w:pPr>
        <w:spacing w:line="560" w:lineRule="exact"/>
        <w:ind w:firstLineChars="200" w:firstLine="640"/>
        <w:jc w:val="left"/>
        <w:rPr>
          <w:rFonts w:ascii="Times New Roman" w:eastAsia="仿宋" w:hAnsi="Times New Roman" w:cs="仿宋"/>
          <w:color w:val="FF0000"/>
          <w:sz w:val="32"/>
          <w:szCs w:val="32"/>
        </w:rPr>
      </w:pPr>
    </w:p>
    <w:p w:rsidR="00B00752" w:rsidRDefault="005F7F5E">
      <w:pPr>
        <w:spacing w:line="560" w:lineRule="exact"/>
        <w:ind w:firstLineChars="200" w:firstLine="560"/>
        <w:jc w:val="left"/>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注释：</w:t>
      </w:r>
    </w:p>
    <w:p w:rsidR="00B00752" w:rsidRDefault="005F7F5E">
      <w:pPr>
        <w:spacing w:line="560" w:lineRule="exact"/>
        <w:ind w:firstLineChars="200" w:firstLine="560"/>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t>1.</w:t>
      </w:r>
      <w:r>
        <w:rPr>
          <w:rFonts w:ascii="楷体_GB2312" w:eastAsia="楷体_GB2312" w:hAnsi="楷体_GB2312" w:cs="楷体_GB2312" w:hint="eastAsia"/>
          <w:sz w:val="28"/>
          <w:szCs w:val="28"/>
        </w:rPr>
        <w:t>本公报</w:t>
      </w:r>
      <w:r>
        <w:rPr>
          <w:rFonts w:ascii="楷体_GB2312" w:eastAsia="楷体_GB2312" w:hAnsi="楷体_GB2312" w:cs="楷体_GB2312" w:hint="eastAsia"/>
          <w:sz w:val="28"/>
          <w:szCs w:val="28"/>
        </w:rPr>
        <w:t>2023</w:t>
      </w:r>
      <w:r>
        <w:rPr>
          <w:rFonts w:ascii="楷体_GB2312" w:eastAsia="楷体_GB2312" w:hAnsi="楷体_GB2312" w:cs="楷体_GB2312" w:hint="eastAsia"/>
          <w:sz w:val="28"/>
          <w:szCs w:val="28"/>
        </w:rPr>
        <w:t>年数据为统计快报数</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2022</w:t>
      </w:r>
      <w:r>
        <w:rPr>
          <w:rFonts w:ascii="楷体_GB2312" w:eastAsia="楷体_GB2312" w:hAnsi="楷体_GB2312" w:cs="楷体_GB2312" w:hint="eastAsia"/>
          <w:sz w:val="28"/>
          <w:szCs w:val="28"/>
        </w:rPr>
        <w:t>年全</w:t>
      </w:r>
      <w:r>
        <w:rPr>
          <w:rFonts w:ascii="楷体_GB2312" w:eastAsia="楷体_GB2312" w:hAnsi="楷体_GB2312" w:cs="楷体_GB2312" w:hint="eastAsia"/>
          <w:sz w:val="28"/>
          <w:szCs w:val="28"/>
        </w:rPr>
        <w:t>市</w:t>
      </w:r>
      <w:r>
        <w:rPr>
          <w:rFonts w:ascii="楷体_GB2312" w:eastAsia="楷体_GB2312" w:hAnsi="楷体_GB2312" w:cs="楷体_GB2312" w:hint="eastAsia"/>
          <w:sz w:val="28"/>
          <w:szCs w:val="28"/>
        </w:rPr>
        <w:t>生产总值为最终核实数。</w:t>
      </w:r>
    </w:p>
    <w:p w:rsidR="00B00752" w:rsidRDefault="005F7F5E">
      <w:pPr>
        <w:spacing w:line="560" w:lineRule="exact"/>
        <w:ind w:firstLineChars="200" w:firstLine="560"/>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t>2</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国内生产总值、各产业增加值绝对数按现价计算，增长速度按不变价格计算。</w:t>
      </w:r>
    </w:p>
    <w:p w:rsidR="00B00752" w:rsidRDefault="005F7F5E">
      <w:pPr>
        <w:spacing w:line="560" w:lineRule="exact"/>
        <w:ind w:firstLineChars="200" w:firstLine="560"/>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t>3</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第一产业增加值＝农林牧渔业增加值－农林牧渔专业及辅助性活动增加值</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第二产业增加值＝工业增加值＋建筑业增加值－开采专业及辅助性活动增加值－金属制品、机械和设备修理业增加值</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第三产业增加值＝按行业增加值汇总的地区生产总值－第一产业增加值－第二产业增加值。</w:t>
      </w:r>
    </w:p>
    <w:p w:rsidR="00B00752" w:rsidRDefault="005F7F5E">
      <w:pPr>
        <w:spacing w:line="560" w:lineRule="exact"/>
        <w:ind w:firstLineChars="200" w:firstLine="560"/>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lastRenderedPageBreak/>
        <w:t>4</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居民消费价格指数即</w:t>
      </w:r>
      <w:r>
        <w:rPr>
          <w:rFonts w:ascii="楷体_GB2312" w:eastAsia="楷体_GB2312" w:hAnsi="楷体_GB2312" w:cs="楷体_GB2312" w:hint="eastAsia"/>
          <w:sz w:val="28"/>
          <w:szCs w:val="28"/>
        </w:rPr>
        <w:t>CPI</w:t>
      </w:r>
      <w:r>
        <w:rPr>
          <w:rFonts w:ascii="楷体_GB2312" w:eastAsia="楷体_GB2312" w:hAnsi="楷体_GB2312" w:cs="楷体_GB2312" w:hint="eastAsia"/>
          <w:sz w:val="28"/>
          <w:szCs w:val="28"/>
        </w:rPr>
        <w:t>，它反映一定时期内城乡居民所购买的生活消费品价格和服务项目价格变动趋势和程度的相对数，反映居民家庭购买的消费品及服务价格水平的变动情况。</w:t>
      </w:r>
    </w:p>
    <w:p w:rsidR="00B00752" w:rsidRDefault="005F7F5E">
      <w:pPr>
        <w:spacing w:line="560" w:lineRule="exact"/>
        <w:ind w:firstLineChars="200" w:firstLine="560"/>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t>5</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市场主体包括</w:t>
      </w:r>
      <w:r>
        <w:rPr>
          <w:rFonts w:ascii="楷体_GB2312" w:eastAsia="楷体_GB2312" w:hAnsi="楷体_GB2312" w:cs="楷体_GB2312" w:hint="eastAsia"/>
          <w:sz w:val="28"/>
          <w:szCs w:val="28"/>
        </w:rPr>
        <w:t>国有集体及控股</w:t>
      </w:r>
      <w:r>
        <w:rPr>
          <w:rFonts w:ascii="楷体_GB2312" w:eastAsia="楷体_GB2312" w:hAnsi="楷体_GB2312" w:cs="楷体_GB2312" w:hint="eastAsia"/>
          <w:sz w:val="28"/>
          <w:szCs w:val="28"/>
        </w:rPr>
        <w:t>企业、</w:t>
      </w:r>
      <w:r>
        <w:rPr>
          <w:rFonts w:ascii="楷体_GB2312" w:eastAsia="楷体_GB2312" w:hAnsi="楷体_GB2312" w:cs="楷体_GB2312" w:hint="eastAsia"/>
          <w:sz w:val="28"/>
          <w:szCs w:val="28"/>
        </w:rPr>
        <w:t>外商投资</w:t>
      </w:r>
      <w:r>
        <w:rPr>
          <w:rFonts w:ascii="楷体_GB2312" w:eastAsia="楷体_GB2312" w:hAnsi="楷体_GB2312" w:cs="楷体_GB2312" w:hint="eastAsia"/>
          <w:sz w:val="28"/>
          <w:szCs w:val="28"/>
        </w:rPr>
        <w:t>企业、私营企业、个体工商户和农民专业合作社。</w:t>
      </w:r>
    </w:p>
    <w:p w:rsidR="00B00752" w:rsidRDefault="005F7F5E">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6</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规模以上工业：指年主营业务收入</w:t>
      </w:r>
      <w:r>
        <w:rPr>
          <w:rFonts w:ascii="楷体_GB2312" w:eastAsia="楷体_GB2312" w:hAnsi="楷体_GB2312" w:cs="楷体_GB2312" w:hint="eastAsia"/>
          <w:sz w:val="28"/>
          <w:szCs w:val="28"/>
        </w:rPr>
        <w:t>2000</w:t>
      </w:r>
      <w:r>
        <w:rPr>
          <w:rFonts w:ascii="楷体_GB2312" w:eastAsia="楷体_GB2312" w:hAnsi="楷体_GB2312" w:cs="楷体_GB2312" w:hint="eastAsia"/>
          <w:sz w:val="28"/>
          <w:szCs w:val="28"/>
        </w:rPr>
        <w:t>万元及以上的工业企业。</w:t>
      </w:r>
    </w:p>
    <w:p w:rsidR="00B00752" w:rsidRDefault="005F7F5E">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7</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资质以内建筑业：指三级以上资质的建筑业企业</w:t>
      </w:r>
      <w:r>
        <w:rPr>
          <w:rFonts w:ascii="楷体_GB2312" w:eastAsia="楷体_GB2312" w:hAnsi="楷体_GB2312" w:cs="楷体_GB2312" w:hint="eastAsia"/>
          <w:sz w:val="28"/>
          <w:szCs w:val="28"/>
        </w:rPr>
        <w:t>。</w:t>
      </w:r>
    </w:p>
    <w:p w:rsidR="00B00752" w:rsidRDefault="005F7F5E">
      <w:pPr>
        <w:spacing w:line="56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8</w:t>
      </w:r>
      <w:r>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限额以上批发零售业：指年主营业务收入</w:t>
      </w:r>
      <w:r>
        <w:rPr>
          <w:rFonts w:ascii="楷体_GB2312" w:eastAsia="楷体_GB2312" w:hAnsi="楷体_GB2312" w:cs="楷体_GB2312" w:hint="eastAsia"/>
          <w:sz w:val="28"/>
          <w:szCs w:val="28"/>
        </w:rPr>
        <w:t>2000</w:t>
      </w:r>
      <w:r>
        <w:rPr>
          <w:rFonts w:ascii="楷体_GB2312" w:eastAsia="楷体_GB2312" w:hAnsi="楷体_GB2312" w:cs="楷体_GB2312" w:hint="eastAsia"/>
          <w:sz w:val="28"/>
          <w:szCs w:val="28"/>
        </w:rPr>
        <w:t>万元及以上的批发业和年主营业务收入</w:t>
      </w:r>
      <w:r>
        <w:rPr>
          <w:rFonts w:ascii="楷体_GB2312" w:eastAsia="楷体_GB2312" w:hAnsi="楷体_GB2312" w:cs="楷体_GB2312" w:hint="eastAsia"/>
          <w:sz w:val="28"/>
          <w:szCs w:val="28"/>
        </w:rPr>
        <w:t>500</w:t>
      </w:r>
      <w:r>
        <w:rPr>
          <w:rFonts w:ascii="楷体_GB2312" w:eastAsia="楷体_GB2312" w:hAnsi="楷体_GB2312" w:cs="楷体_GB2312" w:hint="eastAsia"/>
          <w:sz w:val="28"/>
          <w:szCs w:val="28"/>
        </w:rPr>
        <w:t>万元及以上的零售业。</w:t>
      </w:r>
    </w:p>
    <w:p w:rsidR="00B00752" w:rsidRDefault="005F7F5E">
      <w:pPr>
        <w:spacing w:line="560" w:lineRule="exact"/>
        <w:ind w:firstLineChars="200" w:firstLine="560"/>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t>9.</w:t>
      </w:r>
      <w:r>
        <w:rPr>
          <w:rFonts w:ascii="楷体_GB2312" w:eastAsia="楷体_GB2312" w:hAnsi="楷体_GB2312" w:cs="楷体_GB2312" w:hint="eastAsia"/>
          <w:sz w:val="28"/>
          <w:szCs w:val="28"/>
        </w:rPr>
        <w:t>高校包括湖北科技学院、咸宁职业技术学院、湖北健康职业学院、湖北商贸学院咸宁校区、武昌首义学院嘉鱼校区和武汉东湖学院嘉鱼校区，</w:t>
      </w:r>
      <w:r>
        <w:rPr>
          <w:rFonts w:ascii="楷体_GB2312" w:eastAsia="楷体_GB2312" w:hAnsi="楷体_GB2312" w:cs="楷体_GB2312" w:hint="eastAsia"/>
          <w:sz w:val="28"/>
          <w:szCs w:val="28"/>
        </w:rPr>
        <w:t>中等职业教育包括普通中专、成人中专</w:t>
      </w:r>
      <w:r>
        <w:rPr>
          <w:rFonts w:ascii="楷体_GB2312" w:eastAsia="楷体_GB2312" w:hAnsi="楷体_GB2312" w:cs="楷体_GB2312" w:hint="eastAsia"/>
          <w:sz w:val="28"/>
          <w:szCs w:val="28"/>
        </w:rPr>
        <w:t>和</w:t>
      </w:r>
      <w:r>
        <w:rPr>
          <w:rFonts w:ascii="楷体_GB2312" w:eastAsia="楷体_GB2312" w:hAnsi="楷体_GB2312" w:cs="楷体_GB2312" w:hint="eastAsia"/>
          <w:sz w:val="28"/>
          <w:szCs w:val="28"/>
        </w:rPr>
        <w:t>职业高中。</w:t>
      </w:r>
    </w:p>
    <w:p w:rsidR="00B00752" w:rsidRDefault="005F7F5E">
      <w:pPr>
        <w:pStyle w:val="Default"/>
        <w:spacing w:line="560" w:lineRule="exact"/>
        <w:ind w:firstLineChars="200" w:firstLine="56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资料来源：</w:t>
      </w:r>
    </w:p>
    <w:p w:rsidR="00B00752" w:rsidRDefault="005F7F5E">
      <w:pPr>
        <w:pStyle w:val="Default"/>
        <w:spacing w:line="560" w:lineRule="exact"/>
        <w:ind w:firstLineChars="200" w:firstLine="560"/>
        <w:rPr>
          <w:rFonts w:ascii="楷体_GB2312" w:eastAsia="楷体_GB2312" w:hAnsi="楷体_GB2312" w:cs="楷体_GB2312"/>
          <w:color w:val="auto"/>
        </w:rPr>
      </w:pPr>
      <w:r>
        <w:rPr>
          <w:rFonts w:ascii="楷体_GB2312" w:eastAsia="楷体_GB2312" w:hAnsi="楷体_GB2312" w:cs="楷体_GB2312" w:hint="eastAsia"/>
          <w:color w:val="auto"/>
          <w:sz w:val="28"/>
          <w:szCs w:val="28"/>
        </w:rPr>
        <w:t>本公报中城镇新增就业人员、城镇登记失业率、养老保险、工伤保险、失业保险等数据来自市人力资源和社会保障</w:t>
      </w:r>
      <w:r>
        <w:rPr>
          <w:rFonts w:ascii="楷体_GB2312" w:eastAsia="楷体_GB2312" w:hAnsi="楷体_GB2312" w:cs="楷体_GB2312" w:hint="eastAsia"/>
          <w:color w:val="auto"/>
          <w:sz w:val="28"/>
          <w:szCs w:val="28"/>
        </w:rPr>
        <w:t>局；外贸、进出口数据来自市商务局；文化、博物馆、广播电视节目、旅游等数据来自市文化和旅游局；档案馆、馆藏档案卷宗等数据来自市档案馆；交通数据来自市交通运输局；邮政、快递数据来自市邮政管理局；电信业务数据来自市电信、移动、联通公司；财政数据来自市财政局；金融数据来自中国人民银行咸宁中心支行；保费数据来自国家金融监督管理总局咸宁监管分局；教育数据来自市教育局；卫生数据来自市卫健委；体育数据来自市体育事业发展中心；福利彩票等数据来自市民政局；户籍人口、民用汽车等数据来自市公安局；医疗保险、生育保险等数据来自市医保</w:t>
      </w:r>
      <w:r>
        <w:rPr>
          <w:rFonts w:ascii="楷体_GB2312" w:eastAsia="楷体_GB2312" w:hAnsi="楷体_GB2312" w:cs="楷体_GB2312" w:hint="eastAsia"/>
          <w:color w:val="auto"/>
          <w:sz w:val="28"/>
          <w:szCs w:val="28"/>
        </w:rPr>
        <w:t>局；</w:t>
      </w:r>
      <w:r>
        <w:rPr>
          <w:rFonts w:ascii="楷体_GB2312" w:eastAsia="楷体_GB2312" w:hAnsi="楷体_GB2312" w:cs="楷体_GB2312" w:hint="eastAsia"/>
          <w:color w:val="auto"/>
          <w:sz w:val="28"/>
          <w:szCs w:val="28"/>
        </w:rPr>
        <w:lastRenderedPageBreak/>
        <w:t>气象数据来自市气象局；科技成果、技术合同等数据来自市科技局；市场主体、专利授权数等数据来自市市场监督管理局；地震、安全生产等数据来自市应急管理局；建设用地数据来自市国土资源局；森林资源、自然保护区等数据来自市林业局；生态环境、环境监测等数据来自市生态环境局；价格、粮食、畜禽、城乡居民收支等数据来自国家统计局咸宁调查队；其他数据均来自市统计局。</w:t>
      </w:r>
    </w:p>
    <w:sectPr w:rsidR="00B00752">
      <w:footerReference w:type="default" r:id="rId13"/>
      <w:pgSz w:w="11906" w:h="16838"/>
      <w:pgMar w:top="2041" w:right="1587" w:bottom="158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F5E" w:rsidRDefault="005F7F5E">
      <w:r>
        <w:separator/>
      </w:r>
    </w:p>
  </w:endnote>
  <w:endnote w:type="continuationSeparator" w:id="0">
    <w:p w:rsidR="005F7F5E" w:rsidRDefault="005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52" w:rsidRDefault="005F7F5E">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B00752" w:rsidRDefault="005F7F5E">
                          <w:pPr>
                            <w:pStyle w:val="a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SELdGxAEAAF8DAAAOAAAAAAAAAAAAAAAAAC4CAABk&#10;cnMvZTJvRG9jLnhtbFBLAQItABQABgAIAAAAIQAMSvDu1gAAAAUBAAAPAAAAAAAAAAAAAAAAAB4E&#10;AABkcnMvZG93bnJldi54bWxQSwUGAAAAAAQABADzAAAAIQUAAAAA&#10;" filled="f" stroked="f">
              <v:textbox style="mso-fit-shape-to-text:t" inset="0,0,0,0">
                <w:txbxContent>
                  <w:p w:rsidR="00B00752" w:rsidRDefault="005F7F5E">
                    <w:pPr>
                      <w:pStyle w:val="a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w10:wrap anchorx="margin"/>
            </v:shape>
          </w:pict>
        </mc:Fallback>
      </mc:AlternateContent>
    </w:r>
  </w:p>
  <w:p w:rsidR="00B00752" w:rsidRDefault="00B007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F5E" w:rsidRDefault="005F7F5E">
      <w:r>
        <w:separator/>
      </w:r>
    </w:p>
  </w:footnote>
  <w:footnote w:type="continuationSeparator" w:id="0">
    <w:p w:rsidR="005F7F5E" w:rsidRDefault="005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F6EDB"/>
    <w:multiLevelType w:val="singleLevel"/>
    <w:tmpl w:val="6AAF6ED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NlMzNiYjNmYzU0Y2Y0OTNjNzczNTVlZTcyMjk0NjQifQ=="/>
  </w:docVars>
  <w:rsids>
    <w:rsidRoot w:val="005F08AE"/>
    <w:rsid w:val="0001419E"/>
    <w:rsid w:val="00014D34"/>
    <w:rsid w:val="00015C7D"/>
    <w:rsid w:val="00035C28"/>
    <w:rsid w:val="00070E5F"/>
    <w:rsid w:val="00074E92"/>
    <w:rsid w:val="00077012"/>
    <w:rsid w:val="00085A24"/>
    <w:rsid w:val="000870A5"/>
    <w:rsid w:val="000A1FA9"/>
    <w:rsid w:val="000B1217"/>
    <w:rsid w:val="000B1A08"/>
    <w:rsid w:val="000B5389"/>
    <w:rsid w:val="000C3919"/>
    <w:rsid w:val="000D0472"/>
    <w:rsid w:val="000D21F5"/>
    <w:rsid w:val="000D7603"/>
    <w:rsid w:val="000E277F"/>
    <w:rsid w:val="000E7352"/>
    <w:rsid w:val="00100F76"/>
    <w:rsid w:val="00101634"/>
    <w:rsid w:val="00104E7D"/>
    <w:rsid w:val="001215AD"/>
    <w:rsid w:val="0012354E"/>
    <w:rsid w:val="00123579"/>
    <w:rsid w:val="001250EF"/>
    <w:rsid w:val="00132A3B"/>
    <w:rsid w:val="0013637D"/>
    <w:rsid w:val="00136AA1"/>
    <w:rsid w:val="0015194D"/>
    <w:rsid w:val="0015362C"/>
    <w:rsid w:val="00154D77"/>
    <w:rsid w:val="00166C8F"/>
    <w:rsid w:val="00174154"/>
    <w:rsid w:val="0018353D"/>
    <w:rsid w:val="001B1195"/>
    <w:rsid w:val="001B1DBD"/>
    <w:rsid w:val="001B3925"/>
    <w:rsid w:val="001C4998"/>
    <w:rsid w:val="001C5AB2"/>
    <w:rsid w:val="001D4F95"/>
    <w:rsid w:val="001D791F"/>
    <w:rsid w:val="001F1DBE"/>
    <w:rsid w:val="00205BF0"/>
    <w:rsid w:val="002156CF"/>
    <w:rsid w:val="00220DB0"/>
    <w:rsid w:val="002318FA"/>
    <w:rsid w:val="00236999"/>
    <w:rsid w:val="002433C2"/>
    <w:rsid w:val="00263911"/>
    <w:rsid w:val="00266651"/>
    <w:rsid w:val="00266C23"/>
    <w:rsid w:val="00286DB3"/>
    <w:rsid w:val="00291977"/>
    <w:rsid w:val="00293982"/>
    <w:rsid w:val="00297904"/>
    <w:rsid w:val="002A0A4A"/>
    <w:rsid w:val="002A1D1B"/>
    <w:rsid w:val="002A5753"/>
    <w:rsid w:val="002C0914"/>
    <w:rsid w:val="002C16E9"/>
    <w:rsid w:val="002D465D"/>
    <w:rsid w:val="002D5DE8"/>
    <w:rsid w:val="002E26BF"/>
    <w:rsid w:val="002E5652"/>
    <w:rsid w:val="002F319B"/>
    <w:rsid w:val="002F5358"/>
    <w:rsid w:val="003078D1"/>
    <w:rsid w:val="00320456"/>
    <w:rsid w:val="00336617"/>
    <w:rsid w:val="003379C1"/>
    <w:rsid w:val="00337C9F"/>
    <w:rsid w:val="00351C39"/>
    <w:rsid w:val="00355B8D"/>
    <w:rsid w:val="00355BD9"/>
    <w:rsid w:val="003560C7"/>
    <w:rsid w:val="0036457E"/>
    <w:rsid w:val="00367296"/>
    <w:rsid w:val="00381D17"/>
    <w:rsid w:val="0038224E"/>
    <w:rsid w:val="003849D4"/>
    <w:rsid w:val="00386F66"/>
    <w:rsid w:val="00392B8D"/>
    <w:rsid w:val="003A2898"/>
    <w:rsid w:val="003A41C7"/>
    <w:rsid w:val="003A48CE"/>
    <w:rsid w:val="003A4EB2"/>
    <w:rsid w:val="003A52C8"/>
    <w:rsid w:val="003B2B98"/>
    <w:rsid w:val="003C3620"/>
    <w:rsid w:val="003C77B9"/>
    <w:rsid w:val="003D1420"/>
    <w:rsid w:val="003D41B1"/>
    <w:rsid w:val="003E4E8B"/>
    <w:rsid w:val="00403655"/>
    <w:rsid w:val="00412CA6"/>
    <w:rsid w:val="0042207D"/>
    <w:rsid w:val="00426C7E"/>
    <w:rsid w:val="004332FC"/>
    <w:rsid w:val="004527E1"/>
    <w:rsid w:val="00457E52"/>
    <w:rsid w:val="0046286C"/>
    <w:rsid w:val="00466F93"/>
    <w:rsid w:val="004A4666"/>
    <w:rsid w:val="004B1FBD"/>
    <w:rsid w:val="004B2E2B"/>
    <w:rsid w:val="004C5245"/>
    <w:rsid w:val="004D0B60"/>
    <w:rsid w:val="00503F42"/>
    <w:rsid w:val="00505ED7"/>
    <w:rsid w:val="005146A1"/>
    <w:rsid w:val="00514F26"/>
    <w:rsid w:val="00517D98"/>
    <w:rsid w:val="00526107"/>
    <w:rsid w:val="0052762B"/>
    <w:rsid w:val="00534A26"/>
    <w:rsid w:val="0053652E"/>
    <w:rsid w:val="00537320"/>
    <w:rsid w:val="005578A5"/>
    <w:rsid w:val="00595007"/>
    <w:rsid w:val="00596EC9"/>
    <w:rsid w:val="005A7245"/>
    <w:rsid w:val="005C5348"/>
    <w:rsid w:val="005C6A83"/>
    <w:rsid w:val="005C7055"/>
    <w:rsid w:val="005D560A"/>
    <w:rsid w:val="005D5820"/>
    <w:rsid w:val="005E6FD6"/>
    <w:rsid w:val="005F08AE"/>
    <w:rsid w:val="005F0BA4"/>
    <w:rsid w:val="005F3D32"/>
    <w:rsid w:val="005F7F5E"/>
    <w:rsid w:val="00600AEE"/>
    <w:rsid w:val="00617E38"/>
    <w:rsid w:val="006279F3"/>
    <w:rsid w:val="00637AAE"/>
    <w:rsid w:val="006418F1"/>
    <w:rsid w:val="00642D89"/>
    <w:rsid w:val="00647AAD"/>
    <w:rsid w:val="006628B5"/>
    <w:rsid w:val="00662F98"/>
    <w:rsid w:val="0066737C"/>
    <w:rsid w:val="006809DB"/>
    <w:rsid w:val="00692284"/>
    <w:rsid w:val="00692E53"/>
    <w:rsid w:val="006B5E9B"/>
    <w:rsid w:val="006E2D6B"/>
    <w:rsid w:val="007040E1"/>
    <w:rsid w:val="007070CF"/>
    <w:rsid w:val="007112D1"/>
    <w:rsid w:val="00717B0E"/>
    <w:rsid w:val="0072606C"/>
    <w:rsid w:val="007349AF"/>
    <w:rsid w:val="00740F6F"/>
    <w:rsid w:val="0074423F"/>
    <w:rsid w:val="00746344"/>
    <w:rsid w:val="00764755"/>
    <w:rsid w:val="00765225"/>
    <w:rsid w:val="00783FDB"/>
    <w:rsid w:val="00795F82"/>
    <w:rsid w:val="00796499"/>
    <w:rsid w:val="007A15DC"/>
    <w:rsid w:val="007A5525"/>
    <w:rsid w:val="007A6122"/>
    <w:rsid w:val="007A6D4C"/>
    <w:rsid w:val="007B0216"/>
    <w:rsid w:val="007B1AD1"/>
    <w:rsid w:val="007B2CC9"/>
    <w:rsid w:val="007B36E4"/>
    <w:rsid w:val="007B3D60"/>
    <w:rsid w:val="007D6058"/>
    <w:rsid w:val="007D62FD"/>
    <w:rsid w:val="008162A4"/>
    <w:rsid w:val="00841F3D"/>
    <w:rsid w:val="00852350"/>
    <w:rsid w:val="00860C2F"/>
    <w:rsid w:val="00862BF5"/>
    <w:rsid w:val="00866B07"/>
    <w:rsid w:val="00877A5B"/>
    <w:rsid w:val="0088620A"/>
    <w:rsid w:val="0089416C"/>
    <w:rsid w:val="008A1849"/>
    <w:rsid w:val="008B3FF6"/>
    <w:rsid w:val="008B6978"/>
    <w:rsid w:val="008C5CC4"/>
    <w:rsid w:val="008D0E09"/>
    <w:rsid w:val="008F1540"/>
    <w:rsid w:val="00901050"/>
    <w:rsid w:val="00901DA2"/>
    <w:rsid w:val="00904C8D"/>
    <w:rsid w:val="00915150"/>
    <w:rsid w:val="009159CF"/>
    <w:rsid w:val="00917B7D"/>
    <w:rsid w:val="00933F43"/>
    <w:rsid w:val="00935060"/>
    <w:rsid w:val="009552E4"/>
    <w:rsid w:val="00957C34"/>
    <w:rsid w:val="0096552A"/>
    <w:rsid w:val="009659D8"/>
    <w:rsid w:val="0097491F"/>
    <w:rsid w:val="00976324"/>
    <w:rsid w:val="009829AD"/>
    <w:rsid w:val="00986BFF"/>
    <w:rsid w:val="00987408"/>
    <w:rsid w:val="009901E4"/>
    <w:rsid w:val="00995879"/>
    <w:rsid w:val="00995B86"/>
    <w:rsid w:val="009C6609"/>
    <w:rsid w:val="009E6415"/>
    <w:rsid w:val="009F5532"/>
    <w:rsid w:val="00A00FAD"/>
    <w:rsid w:val="00A301F6"/>
    <w:rsid w:val="00A431FD"/>
    <w:rsid w:val="00A45077"/>
    <w:rsid w:val="00A5338A"/>
    <w:rsid w:val="00A55F4D"/>
    <w:rsid w:val="00A57017"/>
    <w:rsid w:val="00A7040E"/>
    <w:rsid w:val="00A72164"/>
    <w:rsid w:val="00A726AE"/>
    <w:rsid w:val="00A75DE7"/>
    <w:rsid w:val="00A9687A"/>
    <w:rsid w:val="00AE6347"/>
    <w:rsid w:val="00AE7E25"/>
    <w:rsid w:val="00AF17CE"/>
    <w:rsid w:val="00AF2B12"/>
    <w:rsid w:val="00AF2F7D"/>
    <w:rsid w:val="00B00752"/>
    <w:rsid w:val="00B072B6"/>
    <w:rsid w:val="00B20EDF"/>
    <w:rsid w:val="00B22BB2"/>
    <w:rsid w:val="00B279E2"/>
    <w:rsid w:val="00B30B52"/>
    <w:rsid w:val="00B36C2B"/>
    <w:rsid w:val="00B41CC7"/>
    <w:rsid w:val="00B473EA"/>
    <w:rsid w:val="00B55EDE"/>
    <w:rsid w:val="00B639C2"/>
    <w:rsid w:val="00B73901"/>
    <w:rsid w:val="00B849AC"/>
    <w:rsid w:val="00B92541"/>
    <w:rsid w:val="00B931ED"/>
    <w:rsid w:val="00B96836"/>
    <w:rsid w:val="00BB1BAC"/>
    <w:rsid w:val="00BB1C6D"/>
    <w:rsid w:val="00BB53E8"/>
    <w:rsid w:val="00BC3FE3"/>
    <w:rsid w:val="00BD1737"/>
    <w:rsid w:val="00BD2223"/>
    <w:rsid w:val="00C01E1B"/>
    <w:rsid w:val="00C0403A"/>
    <w:rsid w:val="00C24C81"/>
    <w:rsid w:val="00C452E2"/>
    <w:rsid w:val="00C53757"/>
    <w:rsid w:val="00C673ED"/>
    <w:rsid w:val="00C764F6"/>
    <w:rsid w:val="00C81AC3"/>
    <w:rsid w:val="00C8285C"/>
    <w:rsid w:val="00C9316D"/>
    <w:rsid w:val="00CA11FE"/>
    <w:rsid w:val="00CD6765"/>
    <w:rsid w:val="00CE1AB6"/>
    <w:rsid w:val="00CF1DDD"/>
    <w:rsid w:val="00CF32DC"/>
    <w:rsid w:val="00D03F3D"/>
    <w:rsid w:val="00D042DF"/>
    <w:rsid w:val="00D2516F"/>
    <w:rsid w:val="00D41FA5"/>
    <w:rsid w:val="00D47931"/>
    <w:rsid w:val="00D63153"/>
    <w:rsid w:val="00D76A27"/>
    <w:rsid w:val="00D87A00"/>
    <w:rsid w:val="00D90064"/>
    <w:rsid w:val="00D9224E"/>
    <w:rsid w:val="00DA3036"/>
    <w:rsid w:val="00DA7189"/>
    <w:rsid w:val="00DC1A4F"/>
    <w:rsid w:val="00DC1D51"/>
    <w:rsid w:val="00DD5DA9"/>
    <w:rsid w:val="00DF08AF"/>
    <w:rsid w:val="00E04C12"/>
    <w:rsid w:val="00E13C8E"/>
    <w:rsid w:val="00E1637E"/>
    <w:rsid w:val="00E17DC4"/>
    <w:rsid w:val="00E248AA"/>
    <w:rsid w:val="00E27C59"/>
    <w:rsid w:val="00E3405F"/>
    <w:rsid w:val="00E36C23"/>
    <w:rsid w:val="00E41E45"/>
    <w:rsid w:val="00E4795E"/>
    <w:rsid w:val="00E54450"/>
    <w:rsid w:val="00E56535"/>
    <w:rsid w:val="00E8364B"/>
    <w:rsid w:val="00E90C41"/>
    <w:rsid w:val="00EA6C62"/>
    <w:rsid w:val="00EB7081"/>
    <w:rsid w:val="00ED226B"/>
    <w:rsid w:val="00EE66F0"/>
    <w:rsid w:val="00EF519D"/>
    <w:rsid w:val="00F03402"/>
    <w:rsid w:val="00F10805"/>
    <w:rsid w:val="00F30413"/>
    <w:rsid w:val="00F315C5"/>
    <w:rsid w:val="00F31C21"/>
    <w:rsid w:val="00F45AA2"/>
    <w:rsid w:val="00F65808"/>
    <w:rsid w:val="00F71410"/>
    <w:rsid w:val="00F77759"/>
    <w:rsid w:val="00F8167B"/>
    <w:rsid w:val="00F871BC"/>
    <w:rsid w:val="00F902CE"/>
    <w:rsid w:val="00F91DBB"/>
    <w:rsid w:val="00F95961"/>
    <w:rsid w:val="00F96987"/>
    <w:rsid w:val="00FA22D6"/>
    <w:rsid w:val="00FA7D0A"/>
    <w:rsid w:val="00FB77BE"/>
    <w:rsid w:val="00FD1A65"/>
    <w:rsid w:val="00FD6028"/>
    <w:rsid w:val="00FF7EC6"/>
    <w:rsid w:val="01144EAA"/>
    <w:rsid w:val="0126542A"/>
    <w:rsid w:val="01317F69"/>
    <w:rsid w:val="0147278E"/>
    <w:rsid w:val="01537CD6"/>
    <w:rsid w:val="0166249C"/>
    <w:rsid w:val="019433E0"/>
    <w:rsid w:val="01DD6264"/>
    <w:rsid w:val="0206407B"/>
    <w:rsid w:val="02160F0D"/>
    <w:rsid w:val="025C30E2"/>
    <w:rsid w:val="026259A2"/>
    <w:rsid w:val="031E679D"/>
    <w:rsid w:val="03273A3E"/>
    <w:rsid w:val="034E4BBD"/>
    <w:rsid w:val="037C3A8C"/>
    <w:rsid w:val="03EC27EA"/>
    <w:rsid w:val="044F5CAA"/>
    <w:rsid w:val="04500632"/>
    <w:rsid w:val="04B9220D"/>
    <w:rsid w:val="04BE1EAE"/>
    <w:rsid w:val="04E2157A"/>
    <w:rsid w:val="04E23B97"/>
    <w:rsid w:val="04F16063"/>
    <w:rsid w:val="050B287F"/>
    <w:rsid w:val="05631F65"/>
    <w:rsid w:val="056D0B77"/>
    <w:rsid w:val="058850D0"/>
    <w:rsid w:val="059A6453"/>
    <w:rsid w:val="05D97835"/>
    <w:rsid w:val="05DB2998"/>
    <w:rsid w:val="061340E1"/>
    <w:rsid w:val="0620235A"/>
    <w:rsid w:val="0664188B"/>
    <w:rsid w:val="071A4FFB"/>
    <w:rsid w:val="071B1403"/>
    <w:rsid w:val="07A814A6"/>
    <w:rsid w:val="086C2DE2"/>
    <w:rsid w:val="087A48E9"/>
    <w:rsid w:val="08814D83"/>
    <w:rsid w:val="092A5C9A"/>
    <w:rsid w:val="09322AD0"/>
    <w:rsid w:val="099E08CB"/>
    <w:rsid w:val="09A3507F"/>
    <w:rsid w:val="0A5D2D29"/>
    <w:rsid w:val="0AB20409"/>
    <w:rsid w:val="0AF60B30"/>
    <w:rsid w:val="0B0A4C34"/>
    <w:rsid w:val="0B2A6E01"/>
    <w:rsid w:val="0B2C17A1"/>
    <w:rsid w:val="0B2E6964"/>
    <w:rsid w:val="0B404311"/>
    <w:rsid w:val="0B7F7753"/>
    <w:rsid w:val="0B996E37"/>
    <w:rsid w:val="0C2B3301"/>
    <w:rsid w:val="0C643D30"/>
    <w:rsid w:val="0C8A49D1"/>
    <w:rsid w:val="0CB33F28"/>
    <w:rsid w:val="0CBE7F01"/>
    <w:rsid w:val="0D407A1C"/>
    <w:rsid w:val="0D6E2F6B"/>
    <w:rsid w:val="0DA02EFC"/>
    <w:rsid w:val="0E395A5C"/>
    <w:rsid w:val="0E4934C4"/>
    <w:rsid w:val="0E7A610B"/>
    <w:rsid w:val="0E946338"/>
    <w:rsid w:val="0EA07360"/>
    <w:rsid w:val="0EB36A12"/>
    <w:rsid w:val="0EB922D4"/>
    <w:rsid w:val="0EC5213C"/>
    <w:rsid w:val="0F046CBD"/>
    <w:rsid w:val="0F22536C"/>
    <w:rsid w:val="0F3E2FAD"/>
    <w:rsid w:val="0FB55CA2"/>
    <w:rsid w:val="10270A2C"/>
    <w:rsid w:val="106C69E7"/>
    <w:rsid w:val="11335637"/>
    <w:rsid w:val="119F6CB1"/>
    <w:rsid w:val="11A77891"/>
    <w:rsid w:val="11A959DC"/>
    <w:rsid w:val="11C0458F"/>
    <w:rsid w:val="11C92FDC"/>
    <w:rsid w:val="11DC6231"/>
    <w:rsid w:val="120F2C79"/>
    <w:rsid w:val="126E4812"/>
    <w:rsid w:val="127A4586"/>
    <w:rsid w:val="12A54982"/>
    <w:rsid w:val="12F71682"/>
    <w:rsid w:val="13620DC2"/>
    <w:rsid w:val="13942DCF"/>
    <w:rsid w:val="13BC5DB8"/>
    <w:rsid w:val="13DD2BC4"/>
    <w:rsid w:val="13E1734C"/>
    <w:rsid w:val="14083E95"/>
    <w:rsid w:val="14692BD2"/>
    <w:rsid w:val="14D55FD1"/>
    <w:rsid w:val="151829DD"/>
    <w:rsid w:val="153E5659"/>
    <w:rsid w:val="15813250"/>
    <w:rsid w:val="158340D0"/>
    <w:rsid w:val="15AA7D66"/>
    <w:rsid w:val="160165A5"/>
    <w:rsid w:val="164E691E"/>
    <w:rsid w:val="16924533"/>
    <w:rsid w:val="169F245F"/>
    <w:rsid w:val="16C3120C"/>
    <w:rsid w:val="16D37876"/>
    <w:rsid w:val="16E55626"/>
    <w:rsid w:val="16EC2DCC"/>
    <w:rsid w:val="17330FC2"/>
    <w:rsid w:val="17CF5D28"/>
    <w:rsid w:val="17E55ACB"/>
    <w:rsid w:val="184263AE"/>
    <w:rsid w:val="18661A4A"/>
    <w:rsid w:val="187B3F27"/>
    <w:rsid w:val="1892023E"/>
    <w:rsid w:val="19595E57"/>
    <w:rsid w:val="1968709F"/>
    <w:rsid w:val="197668B9"/>
    <w:rsid w:val="19AE7F92"/>
    <w:rsid w:val="19B97A25"/>
    <w:rsid w:val="19E56E6D"/>
    <w:rsid w:val="1A0F2BD1"/>
    <w:rsid w:val="1A1C4BFE"/>
    <w:rsid w:val="1A370F2F"/>
    <w:rsid w:val="1A4274B5"/>
    <w:rsid w:val="1A6745A4"/>
    <w:rsid w:val="1A6A1554"/>
    <w:rsid w:val="1A6B4337"/>
    <w:rsid w:val="1B270062"/>
    <w:rsid w:val="1B713A68"/>
    <w:rsid w:val="1B812891"/>
    <w:rsid w:val="1BD431A3"/>
    <w:rsid w:val="1BF63EEA"/>
    <w:rsid w:val="1C34700D"/>
    <w:rsid w:val="1C35495A"/>
    <w:rsid w:val="1C4A3E04"/>
    <w:rsid w:val="1C550F9D"/>
    <w:rsid w:val="1D272481"/>
    <w:rsid w:val="1D3D6A4B"/>
    <w:rsid w:val="1D611B91"/>
    <w:rsid w:val="1D894841"/>
    <w:rsid w:val="1D8B1ECB"/>
    <w:rsid w:val="1DB50D67"/>
    <w:rsid w:val="1E4979EE"/>
    <w:rsid w:val="1E5E30C5"/>
    <w:rsid w:val="1E7177AA"/>
    <w:rsid w:val="1EC02DEE"/>
    <w:rsid w:val="1EC60772"/>
    <w:rsid w:val="1F1D5017"/>
    <w:rsid w:val="1F2E5BF9"/>
    <w:rsid w:val="1F5E02BD"/>
    <w:rsid w:val="1FA9322D"/>
    <w:rsid w:val="20336CE1"/>
    <w:rsid w:val="203A0BE8"/>
    <w:rsid w:val="2075636E"/>
    <w:rsid w:val="209C5BF9"/>
    <w:rsid w:val="20A56E98"/>
    <w:rsid w:val="20B5385F"/>
    <w:rsid w:val="20CD2D9D"/>
    <w:rsid w:val="210E7527"/>
    <w:rsid w:val="211F15A6"/>
    <w:rsid w:val="2130749E"/>
    <w:rsid w:val="213640AF"/>
    <w:rsid w:val="21441798"/>
    <w:rsid w:val="214E2AE3"/>
    <w:rsid w:val="214F5B11"/>
    <w:rsid w:val="21C44FBB"/>
    <w:rsid w:val="2210107D"/>
    <w:rsid w:val="229B2C69"/>
    <w:rsid w:val="22AB2EC8"/>
    <w:rsid w:val="22DA34C6"/>
    <w:rsid w:val="22E151B3"/>
    <w:rsid w:val="22F6582B"/>
    <w:rsid w:val="23A772EC"/>
    <w:rsid w:val="23FF0565"/>
    <w:rsid w:val="24236160"/>
    <w:rsid w:val="2423675C"/>
    <w:rsid w:val="244C7F7B"/>
    <w:rsid w:val="24536778"/>
    <w:rsid w:val="24573FDB"/>
    <w:rsid w:val="24A94674"/>
    <w:rsid w:val="24B228BF"/>
    <w:rsid w:val="24BE3012"/>
    <w:rsid w:val="24FA30B0"/>
    <w:rsid w:val="25493224"/>
    <w:rsid w:val="259C034C"/>
    <w:rsid w:val="25BA505D"/>
    <w:rsid w:val="25C80F20"/>
    <w:rsid w:val="268E42D5"/>
    <w:rsid w:val="26BA4C88"/>
    <w:rsid w:val="26C760D6"/>
    <w:rsid w:val="26DB023A"/>
    <w:rsid w:val="26FF6CBA"/>
    <w:rsid w:val="277D45DB"/>
    <w:rsid w:val="27DA324F"/>
    <w:rsid w:val="27FD4681"/>
    <w:rsid w:val="281713B7"/>
    <w:rsid w:val="286B09E9"/>
    <w:rsid w:val="29086716"/>
    <w:rsid w:val="2910443B"/>
    <w:rsid w:val="298F5DC7"/>
    <w:rsid w:val="2A002A30"/>
    <w:rsid w:val="2A19461F"/>
    <w:rsid w:val="2A593E2D"/>
    <w:rsid w:val="2A677DE2"/>
    <w:rsid w:val="2A846AAC"/>
    <w:rsid w:val="2A8B1BE9"/>
    <w:rsid w:val="2AC849D3"/>
    <w:rsid w:val="2AFD774E"/>
    <w:rsid w:val="2B3E56E6"/>
    <w:rsid w:val="2BEC2FA8"/>
    <w:rsid w:val="2C09317A"/>
    <w:rsid w:val="2C11436F"/>
    <w:rsid w:val="2C5F50DB"/>
    <w:rsid w:val="2C65385B"/>
    <w:rsid w:val="2CB50867"/>
    <w:rsid w:val="2CCB352F"/>
    <w:rsid w:val="2CCD5A13"/>
    <w:rsid w:val="2CFA3055"/>
    <w:rsid w:val="2D090A00"/>
    <w:rsid w:val="2D0D63E2"/>
    <w:rsid w:val="2D4D10DE"/>
    <w:rsid w:val="2D6C5D01"/>
    <w:rsid w:val="2D942C49"/>
    <w:rsid w:val="2DFB7085"/>
    <w:rsid w:val="2E1D349F"/>
    <w:rsid w:val="2E4E0EF2"/>
    <w:rsid w:val="2EC3466E"/>
    <w:rsid w:val="2EC93DF9"/>
    <w:rsid w:val="2F1139A0"/>
    <w:rsid w:val="2F4E0C22"/>
    <w:rsid w:val="2F7A262F"/>
    <w:rsid w:val="2F907D0E"/>
    <w:rsid w:val="2FB34C6B"/>
    <w:rsid w:val="2FEA2EA5"/>
    <w:rsid w:val="3003275C"/>
    <w:rsid w:val="30222A1F"/>
    <w:rsid w:val="30576C24"/>
    <w:rsid w:val="306C77F8"/>
    <w:rsid w:val="308E41E1"/>
    <w:rsid w:val="309457AA"/>
    <w:rsid w:val="30A51846"/>
    <w:rsid w:val="31655A89"/>
    <w:rsid w:val="316E3781"/>
    <w:rsid w:val="31943A79"/>
    <w:rsid w:val="31FA1E5C"/>
    <w:rsid w:val="32141CFD"/>
    <w:rsid w:val="3221669E"/>
    <w:rsid w:val="32325901"/>
    <w:rsid w:val="323A5ADB"/>
    <w:rsid w:val="32947A36"/>
    <w:rsid w:val="32F719A3"/>
    <w:rsid w:val="33184290"/>
    <w:rsid w:val="331A0D01"/>
    <w:rsid w:val="334F1684"/>
    <w:rsid w:val="334F5A58"/>
    <w:rsid w:val="33583F1C"/>
    <w:rsid w:val="3421711A"/>
    <w:rsid w:val="344F46F2"/>
    <w:rsid w:val="34643C60"/>
    <w:rsid w:val="34BD07B4"/>
    <w:rsid w:val="354A2DE9"/>
    <w:rsid w:val="355C49C7"/>
    <w:rsid w:val="35712D26"/>
    <w:rsid w:val="35AA3911"/>
    <w:rsid w:val="35E12B8F"/>
    <w:rsid w:val="36020DBD"/>
    <w:rsid w:val="361F6296"/>
    <w:rsid w:val="362A032B"/>
    <w:rsid w:val="36366F82"/>
    <w:rsid w:val="3699568D"/>
    <w:rsid w:val="36B45E15"/>
    <w:rsid w:val="371B0521"/>
    <w:rsid w:val="372D1E0B"/>
    <w:rsid w:val="373963C3"/>
    <w:rsid w:val="375F0E63"/>
    <w:rsid w:val="37661A13"/>
    <w:rsid w:val="37A83712"/>
    <w:rsid w:val="381F3A4C"/>
    <w:rsid w:val="383972CE"/>
    <w:rsid w:val="38780CA3"/>
    <w:rsid w:val="38B731ED"/>
    <w:rsid w:val="38CA50C7"/>
    <w:rsid w:val="38F81629"/>
    <w:rsid w:val="393A5DC8"/>
    <w:rsid w:val="396A0B6E"/>
    <w:rsid w:val="399F0F56"/>
    <w:rsid w:val="39CC24BC"/>
    <w:rsid w:val="39E179BF"/>
    <w:rsid w:val="39FA6EE9"/>
    <w:rsid w:val="3A997BCD"/>
    <w:rsid w:val="3AEC66D3"/>
    <w:rsid w:val="3B321BE5"/>
    <w:rsid w:val="3B4F4D6D"/>
    <w:rsid w:val="3C320661"/>
    <w:rsid w:val="3C3B7083"/>
    <w:rsid w:val="3C6669DF"/>
    <w:rsid w:val="3CB054DF"/>
    <w:rsid w:val="3CC6226F"/>
    <w:rsid w:val="3CE55AB8"/>
    <w:rsid w:val="3CF14355"/>
    <w:rsid w:val="3CFD4BC8"/>
    <w:rsid w:val="3D2079B7"/>
    <w:rsid w:val="3D7A7FC6"/>
    <w:rsid w:val="3DA54918"/>
    <w:rsid w:val="3DA9265A"/>
    <w:rsid w:val="3DBD69AB"/>
    <w:rsid w:val="3DD84CED"/>
    <w:rsid w:val="3DDB2D60"/>
    <w:rsid w:val="3DE052C6"/>
    <w:rsid w:val="3DE17CBB"/>
    <w:rsid w:val="3DFF2640"/>
    <w:rsid w:val="3E4140A7"/>
    <w:rsid w:val="3E4405D4"/>
    <w:rsid w:val="3E8D7343"/>
    <w:rsid w:val="3E930D36"/>
    <w:rsid w:val="3EA01CAF"/>
    <w:rsid w:val="3EF01BE5"/>
    <w:rsid w:val="3EFF3B35"/>
    <w:rsid w:val="3F273381"/>
    <w:rsid w:val="3F7B1723"/>
    <w:rsid w:val="3F982B3A"/>
    <w:rsid w:val="3F9F676B"/>
    <w:rsid w:val="3FBF6165"/>
    <w:rsid w:val="3FD73AFF"/>
    <w:rsid w:val="3FF90046"/>
    <w:rsid w:val="402B4847"/>
    <w:rsid w:val="4049784F"/>
    <w:rsid w:val="4049786E"/>
    <w:rsid w:val="40635D4B"/>
    <w:rsid w:val="40B16D45"/>
    <w:rsid w:val="40CD48B1"/>
    <w:rsid w:val="40EF2184"/>
    <w:rsid w:val="40F55BB6"/>
    <w:rsid w:val="4124757E"/>
    <w:rsid w:val="412F731A"/>
    <w:rsid w:val="413D3AC5"/>
    <w:rsid w:val="41515B2D"/>
    <w:rsid w:val="418E2292"/>
    <w:rsid w:val="41D63C39"/>
    <w:rsid w:val="42187DAE"/>
    <w:rsid w:val="42247456"/>
    <w:rsid w:val="42462B6D"/>
    <w:rsid w:val="425D3A13"/>
    <w:rsid w:val="42A31D6D"/>
    <w:rsid w:val="42E3660E"/>
    <w:rsid w:val="42E40E31"/>
    <w:rsid w:val="431C7A3B"/>
    <w:rsid w:val="43D877F5"/>
    <w:rsid w:val="43FD5B7B"/>
    <w:rsid w:val="44113FB0"/>
    <w:rsid w:val="44463434"/>
    <w:rsid w:val="444E07FB"/>
    <w:rsid w:val="44775DE2"/>
    <w:rsid w:val="45222911"/>
    <w:rsid w:val="454B334E"/>
    <w:rsid w:val="45611C48"/>
    <w:rsid w:val="456B7D4B"/>
    <w:rsid w:val="45703A5D"/>
    <w:rsid w:val="4588524B"/>
    <w:rsid w:val="45B11146"/>
    <w:rsid w:val="45B80E56"/>
    <w:rsid w:val="45BC4E32"/>
    <w:rsid w:val="46481C0B"/>
    <w:rsid w:val="46D360F4"/>
    <w:rsid w:val="46DD3F9D"/>
    <w:rsid w:val="470B42FB"/>
    <w:rsid w:val="472046A7"/>
    <w:rsid w:val="47846A18"/>
    <w:rsid w:val="47881532"/>
    <w:rsid w:val="47BE75C1"/>
    <w:rsid w:val="47CD6696"/>
    <w:rsid w:val="47D0714C"/>
    <w:rsid w:val="47EE72F0"/>
    <w:rsid w:val="48072D7F"/>
    <w:rsid w:val="483725B0"/>
    <w:rsid w:val="48DD3AFF"/>
    <w:rsid w:val="48E704DA"/>
    <w:rsid w:val="492F60F4"/>
    <w:rsid w:val="49C83ABC"/>
    <w:rsid w:val="49CD3D64"/>
    <w:rsid w:val="4A12075D"/>
    <w:rsid w:val="4A7E52E5"/>
    <w:rsid w:val="4A835FE1"/>
    <w:rsid w:val="4A9A7119"/>
    <w:rsid w:val="4AF94070"/>
    <w:rsid w:val="4B2C3CC2"/>
    <w:rsid w:val="4BBE277F"/>
    <w:rsid w:val="4BE40D01"/>
    <w:rsid w:val="4C1F608F"/>
    <w:rsid w:val="4C3B51A0"/>
    <w:rsid w:val="4CB36D91"/>
    <w:rsid w:val="4D4F7124"/>
    <w:rsid w:val="4D716652"/>
    <w:rsid w:val="4D90401E"/>
    <w:rsid w:val="4DC019BA"/>
    <w:rsid w:val="4DD94895"/>
    <w:rsid w:val="4E3F1079"/>
    <w:rsid w:val="4E437F61"/>
    <w:rsid w:val="4E98328B"/>
    <w:rsid w:val="4EB4517A"/>
    <w:rsid w:val="4EEF719D"/>
    <w:rsid w:val="4EF676C9"/>
    <w:rsid w:val="4F2E6E63"/>
    <w:rsid w:val="4F344FE5"/>
    <w:rsid w:val="4F5261CA"/>
    <w:rsid w:val="4FB355BA"/>
    <w:rsid w:val="4FD317AB"/>
    <w:rsid w:val="4FE42818"/>
    <w:rsid w:val="5016729A"/>
    <w:rsid w:val="502D1A99"/>
    <w:rsid w:val="50A478DA"/>
    <w:rsid w:val="50B55395"/>
    <w:rsid w:val="50C33E2E"/>
    <w:rsid w:val="50F80683"/>
    <w:rsid w:val="51324101"/>
    <w:rsid w:val="514E4AA9"/>
    <w:rsid w:val="517174DB"/>
    <w:rsid w:val="519219D0"/>
    <w:rsid w:val="51B74BC8"/>
    <w:rsid w:val="51C93FD6"/>
    <w:rsid w:val="51D06636"/>
    <w:rsid w:val="51E81438"/>
    <w:rsid w:val="521F52CC"/>
    <w:rsid w:val="522E56F3"/>
    <w:rsid w:val="52690464"/>
    <w:rsid w:val="52850447"/>
    <w:rsid w:val="52CA4F4D"/>
    <w:rsid w:val="53102A24"/>
    <w:rsid w:val="533E3D9F"/>
    <w:rsid w:val="533F5F90"/>
    <w:rsid w:val="53CC5FA2"/>
    <w:rsid w:val="53EA0A3D"/>
    <w:rsid w:val="543D337F"/>
    <w:rsid w:val="54567550"/>
    <w:rsid w:val="54850D54"/>
    <w:rsid w:val="54DE3346"/>
    <w:rsid w:val="54EC20B6"/>
    <w:rsid w:val="54FB2D2D"/>
    <w:rsid w:val="5515345A"/>
    <w:rsid w:val="5558730C"/>
    <w:rsid w:val="556F3D31"/>
    <w:rsid w:val="55894F44"/>
    <w:rsid w:val="55A5531E"/>
    <w:rsid w:val="55B64D6B"/>
    <w:rsid w:val="562D6444"/>
    <w:rsid w:val="563B44EB"/>
    <w:rsid w:val="5673326C"/>
    <w:rsid w:val="5689497F"/>
    <w:rsid w:val="56E30D25"/>
    <w:rsid w:val="56F42E59"/>
    <w:rsid w:val="56FD6278"/>
    <w:rsid w:val="5701617D"/>
    <w:rsid w:val="571B2450"/>
    <w:rsid w:val="572C3449"/>
    <w:rsid w:val="576A1E20"/>
    <w:rsid w:val="57724D07"/>
    <w:rsid w:val="57846752"/>
    <w:rsid w:val="57E75E01"/>
    <w:rsid w:val="57FC0C53"/>
    <w:rsid w:val="581472BC"/>
    <w:rsid w:val="583F713B"/>
    <w:rsid w:val="58523BC2"/>
    <w:rsid w:val="59541CC2"/>
    <w:rsid w:val="59DB1995"/>
    <w:rsid w:val="59EF5B25"/>
    <w:rsid w:val="59FF07C1"/>
    <w:rsid w:val="5A1550D0"/>
    <w:rsid w:val="5A431A04"/>
    <w:rsid w:val="5A496E29"/>
    <w:rsid w:val="5A6C1123"/>
    <w:rsid w:val="5A9A6C68"/>
    <w:rsid w:val="5AD52888"/>
    <w:rsid w:val="5C7659A5"/>
    <w:rsid w:val="5CAD2002"/>
    <w:rsid w:val="5D275F4F"/>
    <w:rsid w:val="5DBE22C1"/>
    <w:rsid w:val="5E0607AB"/>
    <w:rsid w:val="5E281B9A"/>
    <w:rsid w:val="5E7C1EA3"/>
    <w:rsid w:val="5E801EED"/>
    <w:rsid w:val="5EB527F0"/>
    <w:rsid w:val="5F1D5A75"/>
    <w:rsid w:val="5F4349B4"/>
    <w:rsid w:val="5F541F60"/>
    <w:rsid w:val="5FCA136C"/>
    <w:rsid w:val="5FEF619A"/>
    <w:rsid w:val="60914D0A"/>
    <w:rsid w:val="60F821DF"/>
    <w:rsid w:val="610217B4"/>
    <w:rsid w:val="618C7D3B"/>
    <w:rsid w:val="61E67B53"/>
    <w:rsid w:val="62026D83"/>
    <w:rsid w:val="621C40C6"/>
    <w:rsid w:val="6226139E"/>
    <w:rsid w:val="627E49E1"/>
    <w:rsid w:val="628A38E7"/>
    <w:rsid w:val="62F13FD7"/>
    <w:rsid w:val="6329521F"/>
    <w:rsid w:val="633A555E"/>
    <w:rsid w:val="634F480C"/>
    <w:rsid w:val="635A7DCF"/>
    <w:rsid w:val="63611042"/>
    <w:rsid w:val="63863765"/>
    <w:rsid w:val="638F20B0"/>
    <w:rsid w:val="63C8658A"/>
    <w:rsid w:val="63DD36F6"/>
    <w:rsid w:val="64721148"/>
    <w:rsid w:val="649A5F7D"/>
    <w:rsid w:val="64B47C1B"/>
    <w:rsid w:val="64E82D61"/>
    <w:rsid w:val="65136487"/>
    <w:rsid w:val="655D5954"/>
    <w:rsid w:val="656D07F8"/>
    <w:rsid w:val="65B25CA0"/>
    <w:rsid w:val="65BD6DDA"/>
    <w:rsid w:val="65CA3BB5"/>
    <w:rsid w:val="65EE6E84"/>
    <w:rsid w:val="65F37423"/>
    <w:rsid w:val="66081A9E"/>
    <w:rsid w:val="66266795"/>
    <w:rsid w:val="662D7675"/>
    <w:rsid w:val="663F11BD"/>
    <w:rsid w:val="666B235D"/>
    <w:rsid w:val="66926010"/>
    <w:rsid w:val="66DD162A"/>
    <w:rsid w:val="67577F2B"/>
    <w:rsid w:val="675C0BD6"/>
    <w:rsid w:val="67731186"/>
    <w:rsid w:val="678E0158"/>
    <w:rsid w:val="679D64DC"/>
    <w:rsid w:val="67AD22CF"/>
    <w:rsid w:val="67D45504"/>
    <w:rsid w:val="682E29FB"/>
    <w:rsid w:val="68415022"/>
    <w:rsid w:val="684939E9"/>
    <w:rsid w:val="68511AAE"/>
    <w:rsid w:val="68803E14"/>
    <w:rsid w:val="68A517D4"/>
    <w:rsid w:val="69124CA8"/>
    <w:rsid w:val="692769A5"/>
    <w:rsid w:val="69287485"/>
    <w:rsid w:val="692E4C0A"/>
    <w:rsid w:val="6939396A"/>
    <w:rsid w:val="69487232"/>
    <w:rsid w:val="696F0FC2"/>
    <w:rsid w:val="69A53A78"/>
    <w:rsid w:val="69AA218F"/>
    <w:rsid w:val="69B553C4"/>
    <w:rsid w:val="6A107439"/>
    <w:rsid w:val="6A3148BE"/>
    <w:rsid w:val="6A3D1E30"/>
    <w:rsid w:val="6A4E4C82"/>
    <w:rsid w:val="6A831438"/>
    <w:rsid w:val="6B1C4974"/>
    <w:rsid w:val="6B3E7FD6"/>
    <w:rsid w:val="6BD8302C"/>
    <w:rsid w:val="6BE035CD"/>
    <w:rsid w:val="6BE039C3"/>
    <w:rsid w:val="6C157789"/>
    <w:rsid w:val="6C2106E3"/>
    <w:rsid w:val="6C89378B"/>
    <w:rsid w:val="6C9B033B"/>
    <w:rsid w:val="6CA507AD"/>
    <w:rsid w:val="6CB467A2"/>
    <w:rsid w:val="6CD87C7C"/>
    <w:rsid w:val="6CFA7C64"/>
    <w:rsid w:val="6D1E3C1B"/>
    <w:rsid w:val="6D3476DB"/>
    <w:rsid w:val="6D5B0636"/>
    <w:rsid w:val="6DF6759C"/>
    <w:rsid w:val="6DF95B12"/>
    <w:rsid w:val="6E0A1BF8"/>
    <w:rsid w:val="6E85066F"/>
    <w:rsid w:val="6EBE3CB1"/>
    <w:rsid w:val="6EDD74D4"/>
    <w:rsid w:val="6EFC4430"/>
    <w:rsid w:val="6F0C01AD"/>
    <w:rsid w:val="6F173018"/>
    <w:rsid w:val="6F1B55F1"/>
    <w:rsid w:val="6F262D7D"/>
    <w:rsid w:val="6F4C44AA"/>
    <w:rsid w:val="6F6B1FF3"/>
    <w:rsid w:val="6FEC755A"/>
    <w:rsid w:val="70180B2E"/>
    <w:rsid w:val="70495097"/>
    <w:rsid w:val="706A6400"/>
    <w:rsid w:val="706F4486"/>
    <w:rsid w:val="70704682"/>
    <w:rsid w:val="70763BB5"/>
    <w:rsid w:val="70A408DB"/>
    <w:rsid w:val="711463AD"/>
    <w:rsid w:val="71233EF6"/>
    <w:rsid w:val="71D627BF"/>
    <w:rsid w:val="71FC499E"/>
    <w:rsid w:val="726F0A9E"/>
    <w:rsid w:val="729A287D"/>
    <w:rsid w:val="729C2033"/>
    <w:rsid w:val="72C2773E"/>
    <w:rsid w:val="72FD2152"/>
    <w:rsid w:val="73733A44"/>
    <w:rsid w:val="73AA445A"/>
    <w:rsid w:val="73ED5895"/>
    <w:rsid w:val="7462678D"/>
    <w:rsid w:val="747F3FB3"/>
    <w:rsid w:val="74901886"/>
    <w:rsid w:val="74E25C92"/>
    <w:rsid w:val="751E7FEC"/>
    <w:rsid w:val="75200886"/>
    <w:rsid w:val="75531CD2"/>
    <w:rsid w:val="755503F6"/>
    <w:rsid w:val="7561323F"/>
    <w:rsid w:val="756203CD"/>
    <w:rsid w:val="756C691C"/>
    <w:rsid w:val="75824BD9"/>
    <w:rsid w:val="759929D8"/>
    <w:rsid w:val="75CE3981"/>
    <w:rsid w:val="75EE1E30"/>
    <w:rsid w:val="76297A49"/>
    <w:rsid w:val="768947FB"/>
    <w:rsid w:val="768B1A4B"/>
    <w:rsid w:val="768C0584"/>
    <w:rsid w:val="768D4119"/>
    <w:rsid w:val="76A1723F"/>
    <w:rsid w:val="76D07874"/>
    <w:rsid w:val="76DB564A"/>
    <w:rsid w:val="76EC030B"/>
    <w:rsid w:val="77156F4F"/>
    <w:rsid w:val="77424290"/>
    <w:rsid w:val="776F145C"/>
    <w:rsid w:val="778D0A76"/>
    <w:rsid w:val="77921869"/>
    <w:rsid w:val="77E319E7"/>
    <w:rsid w:val="77E668AE"/>
    <w:rsid w:val="77F51DBA"/>
    <w:rsid w:val="78582EA0"/>
    <w:rsid w:val="785E4C0A"/>
    <w:rsid w:val="78804EE9"/>
    <w:rsid w:val="78890B1C"/>
    <w:rsid w:val="790A14F7"/>
    <w:rsid w:val="79450781"/>
    <w:rsid w:val="795839C7"/>
    <w:rsid w:val="797A48CF"/>
    <w:rsid w:val="797C0332"/>
    <w:rsid w:val="79B11FE8"/>
    <w:rsid w:val="7A4C5333"/>
    <w:rsid w:val="7A6B366C"/>
    <w:rsid w:val="7A6E643F"/>
    <w:rsid w:val="7A6F4834"/>
    <w:rsid w:val="7AEA338E"/>
    <w:rsid w:val="7B38596E"/>
    <w:rsid w:val="7B860D6B"/>
    <w:rsid w:val="7BD215F8"/>
    <w:rsid w:val="7BE80D94"/>
    <w:rsid w:val="7C99467F"/>
    <w:rsid w:val="7CB0264B"/>
    <w:rsid w:val="7CB71E1E"/>
    <w:rsid w:val="7CD45B66"/>
    <w:rsid w:val="7CE92254"/>
    <w:rsid w:val="7CF76237"/>
    <w:rsid w:val="7D582F02"/>
    <w:rsid w:val="7D6D5F4A"/>
    <w:rsid w:val="7D7B6F08"/>
    <w:rsid w:val="7DFD787D"/>
    <w:rsid w:val="7E316391"/>
    <w:rsid w:val="7E663674"/>
    <w:rsid w:val="7EA2425F"/>
    <w:rsid w:val="7EC01C08"/>
    <w:rsid w:val="7ED61762"/>
    <w:rsid w:val="7EEA6053"/>
    <w:rsid w:val="7F1B707D"/>
    <w:rsid w:val="7F207C1B"/>
    <w:rsid w:val="7F297B37"/>
    <w:rsid w:val="7F84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C59DD"/>
  <w15:docId w15:val="{0C0F44CC-8AFD-4203-AAED-F51E915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5"/>
    <w:autoRedefine/>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styleId="5">
    <w:name w:val="index 5"/>
    <w:basedOn w:val="a"/>
    <w:next w:val="a"/>
    <w:autoRedefine/>
    <w:uiPriority w:val="99"/>
    <w:semiHidden/>
    <w:qFormat/>
    <w:rPr>
      <w:rFonts w:ascii="Times New Roman" w:hAnsi="Times New Roman" w:cs="Times New Roman"/>
    </w:rPr>
  </w:style>
  <w:style w:type="paragraph" w:styleId="a3">
    <w:name w:val="Normal Indent"/>
    <w:basedOn w:val="a"/>
    <w:autoRedefine/>
    <w:qFormat/>
    <w:pPr>
      <w:ind w:firstLine="420"/>
    </w:pPr>
    <w:rPr>
      <w:sz w:val="24"/>
      <w:szCs w:val="20"/>
    </w:rPr>
  </w:style>
  <w:style w:type="paragraph" w:styleId="a4">
    <w:name w:val="annotation text"/>
    <w:basedOn w:val="a"/>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autoRedefine/>
    <w:qFormat/>
    <w:rPr>
      <w:b/>
    </w:rPr>
  </w:style>
  <w:style w:type="character" w:styleId="ae">
    <w:name w:val="page number"/>
    <w:basedOn w:val="a0"/>
    <w:autoRedefine/>
    <w:qFormat/>
  </w:style>
  <w:style w:type="character" w:styleId="af">
    <w:name w:val="Emphasis"/>
    <w:basedOn w:val="a0"/>
    <w:autoRedefine/>
    <w:uiPriority w:val="20"/>
    <w:qFormat/>
    <w:rPr>
      <w:i/>
    </w:rPr>
  </w:style>
  <w:style w:type="character" w:styleId="af0">
    <w:name w:val="annotation reference"/>
    <w:basedOn w:val="a0"/>
    <w:autoRedefine/>
    <w:uiPriority w:val="99"/>
    <w:semiHidden/>
    <w:unhideWhenUsed/>
    <w:qFormat/>
    <w:rPr>
      <w:sz w:val="21"/>
      <w:szCs w:val="21"/>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paragraph" w:styleId="af1">
    <w:name w:val="List Paragraph"/>
    <w:basedOn w:val="a"/>
    <w:autoRedefine/>
    <w:uiPriority w:val="34"/>
    <w:qFormat/>
    <w:pPr>
      <w:ind w:firstLineChars="200" w:firstLine="420"/>
    </w:pPr>
  </w:style>
  <w:style w:type="character" w:customStyle="1" w:styleId="a6">
    <w:name w:val="批注框文本 字符"/>
    <w:basedOn w:val="a0"/>
    <w:link w:val="a5"/>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3&#32508;&#21512;&#31185;\&#20844;&#25253;\&#21688;&#23425;&#32479;&#35745;&#20844;&#25253;\&#20844;&#25253;&#34920;&#2668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20844;&#25253;&#34920;&#2668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3&#32508;&#21512;&#31185;\&#20844;&#25253;\&#21688;&#23425;&#32479;&#35745;&#20844;&#25253;\&#20844;&#25253;&#34920;&#2668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7660868365511298E-3"/>
          <c:y val="7.3535077707873901E-3"/>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solidFill>
              <a:latin typeface="+mn-lt"/>
              <a:ea typeface="+mn-ea"/>
              <a:cs typeface="+mn-cs"/>
            </a:defRPr>
          </a:pPr>
          <a:endParaRPr lang="zh-CN"/>
        </a:p>
      </c:txPr>
    </c:title>
    <c:autoTitleDeleted val="0"/>
    <c:plotArea>
      <c:layout>
        <c:manualLayout>
          <c:layoutTarget val="inner"/>
          <c:xMode val="edge"/>
          <c:yMode val="edge"/>
          <c:x val="6.3359013867488406E-2"/>
          <c:y val="0.103476974292584"/>
          <c:w val="0.92883410374935804"/>
          <c:h val="0.79151100425374499"/>
        </c:manualLayout>
      </c:layout>
      <c:barChart>
        <c:barDir val="col"/>
        <c:grouping val="clustered"/>
        <c:varyColors val="0"/>
        <c:ser>
          <c:idx val="0"/>
          <c:order val="0"/>
          <c:tx>
            <c:strRef>
              <c:f>[公报表格.xlsx]全市汇总!$A$8</c:f>
              <c:strCache>
                <c:ptCount val="1"/>
                <c:pt idx="0">
                  <c:v>万吨</c:v>
                </c:pt>
              </c:strCache>
            </c:strRef>
          </c:tx>
          <c:spPr>
            <a:gradFill>
              <a:gsLst>
                <a:gs pos="0">
                  <a:srgbClr val="14CD68"/>
                </a:gs>
                <a:gs pos="100000">
                  <a:srgbClr val="0B6E38"/>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[公报表格.xlsx]全市汇总!$B$7:$F$7</c:f>
              <c:strCache>
                <c:ptCount val="5"/>
                <c:pt idx="0">
                  <c:v>2019年</c:v>
                </c:pt>
                <c:pt idx="1">
                  <c:v>2020年</c:v>
                </c:pt>
                <c:pt idx="2">
                  <c:v>2021年</c:v>
                </c:pt>
                <c:pt idx="3">
                  <c:v>2022年</c:v>
                </c:pt>
                <c:pt idx="4">
                  <c:v>2023年</c:v>
                </c:pt>
              </c:strCache>
            </c:strRef>
          </c:cat>
          <c:val>
            <c:numRef>
              <c:f>[公报表格.xlsx]全市汇总!$B$8:$F$8</c:f>
              <c:numCache>
                <c:formatCode>0.00_ </c:formatCode>
                <c:ptCount val="5"/>
                <c:pt idx="0">
                  <c:v>116.45</c:v>
                </c:pt>
                <c:pt idx="1">
                  <c:v>116.83</c:v>
                </c:pt>
                <c:pt idx="2" formatCode="General">
                  <c:v>119.51</c:v>
                </c:pt>
                <c:pt idx="3">
                  <c:v>118.7</c:v>
                </c:pt>
                <c:pt idx="4">
                  <c:v>120.82</c:v>
                </c:pt>
              </c:numCache>
            </c:numRef>
          </c:val>
          <c:extLst>
            <c:ext xmlns:c16="http://schemas.microsoft.com/office/drawing/2014/chart" uri="{C3380CC4-5D6E-409C-BE32-E72D297353CC}">
              <c16:uniqueId val="{00000000-0F28-41CD-8365-BF0A9688E85B}"/>
            </c:ext>
          </c:extLst>
        </c:ser>
        <c:dLbls>
          <c:showLegendKey val="0"/>
          <c:showVal val="1"/>
          <c:showCatName val="0"/>
          <c:showSerName val="0"/>
          <c:showPercent val="0"/>
          <c:showBubbleSize val="0"/>
        </c:dLbls>
        <c:gapWidth val="219"/>
        <c:overlap val="-27"/>
        <c:axId val="951292792"/>
        <c:axId val="414565447"/>
      </c:barChart>
      <c:catAx>
        <c:axId val="951292792"/>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crossAx val="414565447"/>
        <c:crosses val="autoZero"/>
        <c:auto val="1"/>
        <c:lblAlgn val="ctr"/>
        <c:lblOffset val="100"/>
        <c:noMultiLvlLbl val="0"/>
      </c:catAx>
      <c:valAx>
        <c:axId val="414565447"/>
        <c:scaling>
          <c:orientation val="minMax"/>
          <c:min val="0"/>
        </c:scaling>
        <c:delete val="0"/>
        <c:axPos val="l"/>
        <c:numFmt formatCode="0_);[Red]\(0\)" sourceLinked="0"/>
        <c:majorTickMark val="out"/>
        <c:minorTickMark val="none"/>
        <c:tickLblPos val="nextTo"/>
        <c:spPr>
          <a:noFill/>
          <a:ln w="12700" cmpd="sng">
            <a:solidFill>
              <a:schemeClr val="tx1"/>
            </a:solidFill>
            <a:prstDash val="solid"/>
          </a:ln>
          <a:effectLst/>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crossAx val="9512927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69801867166102E-2"/>
          <c:y val="4.7076628962880403E-2"/>
          <c:w val="0.86332338308457701"/>
          <c:h val="0.77343824511206505"/>
        </c:manualLayout>
      </c:layout>
      <c:barChart>
        <c:barDir val="col"/>
        <c:grouping val="clustered"/>
        <c:varyColors val="0"/>
        <c:ser>
          <c:idx val="0"/>
          <c:order val="0"/>
          <c:tx>
            <c:strRef>
              <c:f>[公报表格.xlsx]社会消费品零售!$A$3</c:f>
              <c:strCache>
                <c:ptCount val="1"/>
                <c:pt idx="0">
                  <c:v>总量（亿元）</c:v>
                </c:pt>
              </c:strCache>
            </c:strRef>
          </c:tx>
          <c:spPr>
            <a:solidFill>
              <a:schemeClr val="accent6"/>
            </a:solidFill>
            <a:ln>
              <a:noFill/>
            </a:ln>
            <a:effectLst>
              <a:outerShdw blurRad="40000" dist="23000" dir="5400000" rotWithShape="0">
                <a:srgbClr val="000000">
                  <a:alpha val="35000"/>
                </a:srgbClr>
              </a:outerShdw>
            </a:effectLst>
          </c:spPr>
          <c:invertIfNegative val="0"/>
          <c:dLbls>
            <c:dLbl>
              <c:idx val="3"/>
              <c:layout>
                <c:manualLayout>
                  <c:x val="2.9850746268656699E-3"/>
                  <c:y val="-1.06461554793444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82-4C76-A065-3256D4158089}"/>
                </c:ext>
              </c:extLst>
            </c:dLbl>
            <c:dLbl>
              <c:idx val="4"/>
              <c:layout>
                <c:manualLayout>
                  <c:x val="2.9850746268656699E-3"/>
                  <c:y val="7.15307582260371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82-4C76-A065-3256D4158089}"/>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[公报表格.xlsx]社会消费品零售!$B$1:$F$2</c:f>
              <c:multiLvlStrCache>
                <c:ptCount val="5"/>
                <c:lvl>
                  <c:pt idx="0">
                    <c:v>2019年</c:v>
                  </c:pt>
                  <c:pt idx="1">
                    <c:v>2020年</c:v>
                  </c:pt>
                  <c:pt idx="2">
                    <c:v>2021年</c:v>
                  </c:pt>
                  <c:pt idx="3">
                    <c:v>2022年</c:v>
                  </c:pt>
                  <c:pt idx="4">
                    <c:v>2023年</c:v>
                  </c:pt>
                </c:lvl>
                <c:lvl/>
              </c:multiLvlStrCache>
            </c:multiLvlStrRef>
          </c:cat>
          <c:val>
            <c:numRef>
              <c:f>[公报表格.xlsx]社会消费品零售!$B$3:$F$3</c:f>
              <c:numCache>
                <c:formatCode>0.00_ </c:formatCode>
                <c:ptCount val="5"/>
                <c:pt idx="0">
                  <c:v>708.40062253270696</c:v>
                </c:pt>
                <c:pt idx="1">
                  <c:v>604.04070000000002</c:v>
                </c:pt>
                <c:pt idx="2" formatCode="General">
                  <c:v>781.93</c:v>
                </c:pt>
                <c:pt idx="3" formatCode="General">
                  <c:v>812.34</c:v>
                </c:pt>
                <c:pt idx="4" formatCode="General">
                  <c:v>875.32</c:v>
                </c:pt>
              </c:numCache>
            </c:numRef>
          </c:val>
          <c:extLst>
            <c:ext xmlns:c16="http://schemas.microsoft.com/office/drawing/2014/chart" uri="{C3380CC4-5D6E-409C-BE32-E72D297353CC}">
              <c16:uniqueId val="{00000002-6882-4C76-A065-3256D4158089}"/>
            </c:ext>
          </c:extLst>
        </c:ser>
        <c:dLbls>
          <c:showLegendKey val="0"/>
          <c:showVal val="1"/>
          <c:showCatName val="0"/>
          <c:showSerName val="0"/>
          <c:showPercent val="0"/>
          <c:showBubbleSize val="0"/>
        </c:dLbls>
        <c:gapWidth val="219"/>
        <c:overlap val="-27"/>
        <c:axId val="282822264"/>
        <c:axId val="875575858"/>
      </c:barChart>
      <c:lineChart>
        <c:grouping val="standard"/>
        <c:varyColors val="0"/>
        <c:ser>
          <c:idx val="1"/>
          <c:order val="1"/>
          <c:tx>
            <c:strRef>
              <c:f>[公报表格.xlsx]社会消费品零售!$A$4</c:f>
              <c:strCache>
                <c:ptCount val="1"/>
                <c:pt idx="0">
                  <c:v>增速（%）</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4.1312272174969598E-2"/>
                  <c:y val="5.50206327372764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82-4C76-A065-3256D4158089}"/>
                </c:ext>
              </c:extLst>
            </c:dLbl>
            <c:dLbl>
              <c:idx val="1"/>
              <c:layout>
                <c:manualLayout>
                  <c:x val="2.55164034021871E-2"/>
                  <c:y val="5.27281063732233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82-4C76-A065-3256D4158089}"/>
                </c:ext>
              </c:extLst>
            </c:dLbl>
            <c:dLbl>
              <c:idx val="2"/>
              <c:layout>
                <c:manualLayout>
                  <c:x val="2.4301336573511498E-2"/>
                  <c:y val="1.6047684548372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82-4C76-A065-3256D4158089}"/>
                </c:ext>
              </c:extLst>
            </c:dLbl>
            <c:dLbl>
              <c:idx val="3"/>
              <c:layout>
                <c:manualLayout>
                  <c:x val="3.6452004860267201E-2"/>
                  <c:y val="-4.5850527281063704E-3"/>
                </c:manualLayout>
              </c:layout>
              <c:spPr>
                <a:noFill/>
                <a:ln>
                  <a:noFill/>
                </a:ln>
                <a:effectLst/>
              </c:spPr>
              <c:txPr>
                <a:bodyPr rot="0" spcFirstLastPara="0" vertOverflow="ellipsis" vert="horz" wrap="square" lIns="38100" tIns="19050" rIns="38100" bIns="19050" anchor="t" anchorCtr="1"/>
                <a:lstStyle/>
                <a:p>
                  <a:pPr>
                    <a:defRPr lang="zh-CN" sz="1200" b="0" i="0" u="none" strike="noStrike" kern="1200" baseline="0">
                      <a:solidFill>
                        <a:schemeClr val="tx1"/>
                      </a:solidFill>
                      <a:latin typeface="+mn-lt"/>
                      <a:ea typeface="+mn-ea"/>
                      <a:cs typeface="+mn-cs"/>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82-4C76-A065-3256D4158089}"/>
                </c:ext>
              </c:extLst>
            </c:dLbl>
            <c:dLbl>
              <c:idx val="4"/>
              <c:layout>
                <c:manualLayout>
                  <c:x val="2.3086269744836001E-2"/>
                  <c:y val="5.73131591013296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82-4C76-A065-3256D4158089}"/>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[公报表格.xlsx]社会消费品零售!$B$1:$F$2</c:f>
              <c:multiLvlStrCache>
                <c:ptCount val="5"/>
                <c:lvl>
                  <c:pt idx="0">
                    <c:v>2019年</c:v>
                  </c:pt>
                  <c:pt idx="1">
                    <c:v>2020年</c:v>
                  </c:pt>
                  <c:pt idx="2">
                    <c:v>2021年</c:v>
                  </c:pt>
                  <c:pt idx="3">
                    <c:v>2022年</c:v>
                  </c:pt>
                  <c:pt idx="4">
                    <c:v>2023年</c:v>
                  </c:pt>
                </c:lvl>
                <c:lvl/>
              </c:multiLvlStrCache>
            </c:multiLvlStrRef>
          </c:cat>
          <c:val>
            <c:numRef>
              <c:f>[公报表格.xlsx]社会消费品零售!$B$4:$F$4</c:f>
              <c:numCache>
                <c:formatCode>0.0_ </c:formatCode>
                <c:ptCount val="5"/>
                <c:pt idx="0">
                  <c:v>11.6</c:v>
                </c:pt>
                <c:pt idx="1">
                  <c:v>-14.7</c:v>
                </c:pt>
                <c:pt idx="2" formatCode="General">
                  <c:v>29.5</c:v>
                </c:pt>
                <c:pt idx="3" formatCode="General">
                  <c:v>3.9</c:v>
                </c:pt>
                <c:pt idx="4" formatCode="General">
                  <c:v>7.8</c:v>
                </c:pt>
              </c:numCache>
            </c:numRef>
          </c:val>
          <c:smooth val="0"/>
          <c:extLst>
            <c:ext xmlns:c16="http://schemas.microsoft.com/office/drawing/2014/chart" uri="{C3380CC4-5D6E-409C-BE32-E72D297353CC}">
              <c16:uniqueId val="{00000008-6882-4C76-A065-3256D4158089}"/>
            </c:ext>
          </c:extLst>
        </c:ser>
        <c:dLbls>
          <c:showLegendKey val="0"/>
          <c:showVal val="1"/>
          <c:showCatName val="0"/>
          <c:showSerName val="0"/>
          <c:showPercent val="0"/>
          <c:showBubbleSize val="0"/>
        </c:dLbls>
        <c:marker val="1"/>
        <c:smooth val="0"/>
        <c:axId val="296057916"/>
        <c:axId val="82289948"/>
      </c:lineChart>
      <c:catAx>
        <c:axId val="282822264"/>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crossAx val="875575858"/>
        <c:crosses val="autoZero"/>
        <c:auto val="1"/>
        <c:lblAlgn val="ctr"/>
        <c:lblOffset val="100"/>
        <c:noMultiLvlLbl val="0"/>
      </c:catAx>
      <c:valAx>
        <c:axId val="875575858"/>
        <c:scaling>
          <c:orientation val="minMax"/>
        </c:scaling>
        <c:delete val="0"/>
        <c:axPos val="l"/>
        <c:numFmt formatCode="0_);[Red]\(0\)" sourceLinked="0"/>
        <c:majorTickMark val="out"/>
        <c:minorTickMark val="none"/>
        <c:tickLblPos val="nextTo"/>
        <c:spPr>
          <a:noFill/>
          <a:ln w="12700" cmpd="sng">
            <a:solidFill>
              <a:schemeClr val="tx1"/>
            </a:solidFill>
            <a:prstDash val="solid"/>
          </a:ln>
          <a:effectLst/>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crossAx val="282822264"/>
        <c:crosses val="autoZero"/>
        <c:crossBetween val="between"/>
      </c:valAx>
      <c:catAx>
        <c:axId val="296057916"/>
        <c:scaling>
          <c:orientation val="minMax"/>
        </c:scaling>
        <c:delete val="1"/>
        <c:axPos val="b"/>
        <c:numFmt formatCode="General" sourceLinked="1"/>
        <c:majorTickMark val="out"/>
        <c:minorTickMark val="none"/>
        <c:tickLblPos val="nextTo"/>
        <c:crossAx val="82289948"/>
        <c:crosses val="autoZero"/>
        <c:auto val="1"/>
        <c:lblAlgn val="ctr"/>
        <c:lblOffset val="100"/>
        <c:noMultiLvlLbl val="0"/>
      </c:catAx>
      <c:valAx>
        <c:axId val="82289948"/>
        <c:scaling>
          <c:orientation val="minMax"/>
          <c:max val="40"/>
          <c:min val="-20"/>
        </c:scaling>
        <c:delete val="0"/>
        <c:axPos val="r"/>
        <c:numFmt formatCode="0.0_ " sourceLinked="0"/>
        <c:majorTickMark val="out"/>
        <c:minorTickMark val="none"/>
        <c:tickLblPos val="high"/>
        <c:spPr>
          <a:noFill/>
          <a:ln w="12700" cmpd="sng">
            <a:solidFill>
              <a:schemeClr val="tx1"/>
            </a:solidFill>
            <a:prstDash val="solid"/>
          </a:ln>
          <a:effectLst/>
        </c:spPr>
        <c:txPr>
          <a:bodyPr rot="0" spcFirstLastPara="0" vertOverflow="ellipsis" wrap="square" anchor="ctr" anchorCtr="1"/>
          <a:lstStyle/>
          <a:p>
            <a:pPr>
              <a:defRPr lang="zh-CN" sz="1200" b="0" i="0" u="none" strike="noStrike" kern="1200" baseline="0">
                <a:solidFill>
                  <a:schemeClr val="tx1"/>
                </a:solidFill>
                <a:latin typeface="+mn-lt"/>
                <a:ea typeface="+mn-ea"/>
                <a:cs typeface="+mn-cs"/>
              </a:defRPr>
            </a:pPr>
            <a:endParaRPr lang="zh-CN"/>
          </a:p>
        </c:txPr>
        <c:crossAx val="296057916"/>
        <c:crosses val="max"/>
        <c:crossBetween val="between"/>
        <c:majorUnit val="10"/>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2"/>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chemeClr val="tx2"/>
                </a:solidFill>
                <a:latin typeface="+mn-lt"/>
                <a:ea typeface="+mn-ea"/>
                <a:cs typeface="+mn-cs"/>
              </a:defRPr>
            </a:pPr>
            <a:endParaRPr lang="zh-CN"/>
          </a:p>
        </c:txPr>
      </c:legendEntry>
      <c:overlay val="0"/>
      <c:spPr>
        <a:noFill/>
        <a:ln>
          <a:noFill/>
        </a:ln>
        <a:effectLst/>
      </c:spPr>
      <c:txPr>
        <a:bodyPr rot="0" spcFirstLastPara="0" vertOverflow="ellipsis" vert="horz" wrap="square" anchor="ctr" anchorCtr="1"/>
        <a:lstStyle/>
        <a:p>
          <a:pPr>
            <a:defRPr lang="zh-CN" sz="1200" b="0" i="0" u="none" strike="noStrike" kern="1200" baseline="0">
              <a:solidFill>
                <a:schemeClr val="tx2"/>
              </a:solidFill>
              <a:latin typeface="+mn-lt"/>
              <a:ea typeface="+mn-ea"/>
              <a:cs typeface="+mn-cs"/>
            </a:defRPr>
          </a:pPr>
          <a:endParaRPr lang="zh-CN"/>
        </a:p>
      </c:txPr>
    </c:legend>
    <c:plotVisOnly val="1"/>
    <c:dispBlanksAs val="gap"/>
    <c:showDLblsOverMax val="0"/>
  </c:chart>
  <c:spPr>
    <a:noFill/>
    <a:ln w="28575" cap="flat" cmpd="sng" algn="ctr">
      <a:noFill/>
      <a:prstDash val="solid"/>
      <a:round/>
    </a:ln>
    <a:effectLst/>
  </c:spPr>
  <c:txPr>
    <a:bodyPr/>
    <a:lstStyle/>
    <a:p>
      <a:pPr>
        <a:defRPr lang="zh-CN" sz="1200"/>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solidFill>
                <a:latin typeface="+mn-lt"/>
                <a:ea typeface="+mn-ea"/>
                <a:cs typeface="+mn-cs"/>
              </a:defRPr>
            </a:pPr>
            <a:r>
              <a:rPr lang="zh-CN" altLang="en-US" sz="1200">
                <a:solidFill>
                  <a:schemeClr val="tx1"/>
                </a:solidFill>
              </a:rPr>
              <a:t>亿元</a:t>
            </a:r>
          </a:p>
        </c:rich>
      </c:tx>
      <c:layout>
        <c:manualLayout>
          <c:xMode val="edge"/>
          <c:yMode val="edge"/>
          <c:x val="3.65675280351048E-3"/>
          <c:y val="3.39918361059766E-2"/>
        </c:manualLayout>
      </c:layout>
      <c:overlay val="0"/>
      <c:spPr>
        <a:noFill/>
        <a:ln>
          <a:noFill/>
        </a:ln>
        <a:effectLst/>
      </c:spPr>
      <c:txPr>
        <a:bodyPr rot="0" spcFirstLastPara="0" vertOverflow="ellipsis" vert="horz" wrap="square" anchor="ctr" anchorCtr="1"/>
        <a:lstStyle/>
        <a:p>
          <a:pPr defTabSz="914400">
            <a:defRPr lang="zh-CN" sz="1440" b="0" i="0" u="none" strike="noStrike" kern="1200" spc="0" baseline="0">
              <a:solidFill>
                <a:schemeClr val="tx1"/>
              </a:solidFill>
              <a:latin typeface="+mn-lt"/>
              <a:ea typeface="+mn-ea"/>
              <a:cs typeface="+mn-cs"/>
            </a:defRPr>
          </a:pPr>
          <a:endParaRPr lang="zh-CN"/>
        </a:p>
      </c:txPr>
    </c:title>
    <c:autoTitleDeleted val="0"/>
    <c:plotArea>
      <c:layout/>
      <c:barChart>
        <c:barDir val="col"/>
        <c:grouping val="stacked"/>
        <c:varyColors val="0"/>
        <c:ser>
          <c:idx val="0"/>
          <c:order val="0"/>
          <c:tx>
            <c:strRef>
              <c:f>[公报表格.xlsx]全市汇总!$A$16</c:f>
              <c:strCache>
                <c:ptCount val="1"/>
                <c:pt idx="0">
                  <c:v>  出口总额</c:v>
                </c:pt>
              </c:strCache>
            </c:strRef>
          </c:tx>
          <c:spPr>
            <a:pattFill prst="pct30">
              <a:fgClr>
                <a:schemeClr val="accent1"/>
              </a:fgClr>
              <a:bgClr>
                <a:schemeClr val="bg1"/>
              </a:bgClr>
            </a:pattFill>
            <a:ln>
              <a:solidFill>
                <a:schemeClr val="accen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[公报表格.xlsx]全市汇总!$B$15:$F$15</c:f>
              <c:strCache>
                <c:ptCount val="5"/>
                <c:pt idx="0">
                  <c:v>2019年</c:v>
                </c:pt>
                <c:pt idx="1">
                  <c:v>2020年</c:v>
                </c:pt>
                <c:pt idx="2">
                  <c:v>2021年</c:v>
                </c:pt>
                <c:pt idx="3">
                  <c:v>2022年</c:v>
                </c:pt>
                <c:pt idx="4">
                  <c:v>2023年</c:v>
                </c:pt>
              </c:strCache>
            </c:strRef>
          </c:cat>
          <c:val>
            <c:numRef>
              <c:f>[公报表格.xlsx]全市汇总!$B$16:$F$16</c:f>
              <c:numCache>
                <c:formatCode>0.00_ </c:formatCode>
                <c:ptCount val="5"/>
                <c:pt idx="0">
                  <c:v>55.88</c:v>
                </c:pt>
                <c:pt idx="1">
                  <c:v>65.78</c:v>
                </c:pt>
                <c:pt idx="2" formatCode="General">
                  <c:v>82.89</c:v>
                </c:pt>
                <c:pt idx="3" formatCode="General">
                  <c:v>113.56</c:v>
                </c:pt>
                <c:pt idx="4" formatCode="General">
                  <c:v>115.46</c:v>
                </c:pt>
              </c:numCache>
            </c:numRef>
          </c:val>
          <c:extLst>
            <c:ext xmlns:c16="http://schemas.microsoft.com/office/drawing/2014/chart" uri="{C3380CC4-5D6E-409C-BE32-E72D297353CC}">
              <c16:uniqueId val="{00000000-26CF-44E5-879C-5A0D6E52B030}"/>
            </c:ext>
          </c:extLst>
        </c:ser>
        <c:ser>
          <c:idx val="1"/>
          <c:order val="1"/>
          <c:tx>
            <c:strRef>
              <c:f>[公报表格.xlsx]全市汇总!$A$17</c:f>
              <c:strCache>
                <c:ptCount val="1"/>
                <c:pt idx="0">
                  <c:v>  进口总额</c:v>
                </c:pt>
              </c:strCache>
            </c:strRef>
          </c:tx>
          <c:spPr>
            <a:pattFill prst="pct10">
              <a:fgClr>
                <a:schemeClr val="accent2"/>
              </a:fgClr>
              <a:bgClr>
                <a:schemeClr val="accent2">
                  <a:lumMod val="60000"/>
                  <a:lumOff val="40000"/>
                </a:schemeClr>
              </a:bgClr>
            </a:pattFill>
            <a:ln>
              <a:noFill/>
            </a:ln>
            <a:effectLst/>
          </c:spPr>
          <c:invertIfNegative val="0"/>
          <c:dLbls>
            <c:dLbl>
              <c:idx val="0"/>
              <c:layout>
                <c:manualLayout>
                  <c:x val="0"/>
                  <c:y val="-3.1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CF-44E5-879C-5A0D6E52B030}"/>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[公报表格.xlsx]全市汇总!$B$15:$F$15</c:f>
              <c:strCache>
                <c:ptCount val="5"/>
                <c:pt idx="0">
                  <c:v>2019年</c:v>
                </c:pt>
                <c:pt idx="1">
                  <c:v>2020年</c:v>
                </c:pt>
                <c:pt idx="2">
                  <c:v>2021年</c:v>
                </c:pt>
                <c:pt idx="3">
                  <c:v>2022年</c:v>
                </c:pt>
                <c:pt idx="4">
                  <c:v>2023年</c:v>
                </c:pt>
              </c:strCache>
            </c:strRef>
          </c:cat>
          <c:val>
            <c:numRef>
              <c:f>[公报表格.xlsx]全市汇总!$B$17:$F$17</c:f>
              <c:numCache>
                <c:formatCode>0.00_ </c:formatCode>
                <c:ptCount val="5"/>
                <c:pt idx="0">
                  <c:v>6.91</c:v>
                </c:pt>
                <c:pt idx="1">
                  <c:v>8.14</c:v>
                </c:pt>
                <c:pt idx="2" formatCode="General">
                  <c:v>9.4700000000000006</c:v>
                </c:pt>
                <c:pt idx="3" formatCode="General">
                  <c:v>8.61</c:v>
                </c:pt>
                <c:pt idx="4" formatCode="General">
                  <c:v>8.2899999999999991</c:v>
                </c:pt>
              </c:numCache>
            </c:numRef>
          </c:val>
          <c:extLst>
            <c:ext xmlns:c16="http://schemas.microsoft.com/office/drawing/2014/chart" uri="{C3380CC4-5D6E-409C-BE32-E72D297353CC}">
              <c16:uniqueId val="{00000002-26CF-44E5-879C-5A0D6E52B030}"/>
            </c:ext>
          </c:extLst>
        </c:ser>
        <c:dLbls>
          <c:showLegendKey val="0"/>
          <c:showVal val="1"/>
          <c:showCatName val="0"/>
          <c:showSerName val="0"/>
          <c:showPercent val="0"/>
          <c:showBubbleSize val="0"/>
        </c:dLbls>
        <c:gapWidth val="150"/>
        <c:overlap val="100"/>
        <c:axId val="661591622"/>
        <c:axId val="201929672"/>
      </c:barChart>
      <c:catAx>
        <c:axId val="661591622"/>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crossAx val="201929672"/>
        <c:crosses val="autoZero"/>
        <c:auto val="1"/>
        <c:lblAlgn val="ctr"/>
        <c:lblOffset val="100"/>
        <c:noMultiLvlLbl val="0"/>
      </c:catAx>
      <c:valAx>
        <c:axId val="201929672"/>
        <c:scaling>
          <c:orientation val="minMax"/>
          <c:max val="130"/>
        </c:scaling>
        <c:delete val="0"/>
        <c:axPos val="l"/>
        <c:numFmt formatCode="0_);[Red]\(0\)" sourceLinked="0"/>
        <c:majorTickMark val="out"/>
        <c:minorTickMark val="none"/>
        <c:tickLblPos val="nextTo"/>
        <c:spPr>
          <a:noFill/>
          <a:ln w="12700" cmpd="sng">
            <a:solidFill>
              <a:schemeClr val="tx1"/>
            </a:solidFill>
            <a:prstDash val="solid"/>
          </a:ln>
          <a:effectLst/>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crossAx val="661591622"/>
        <c:crosses val="autoZero"/>
        <c:crossBetween val="between"/>
        <c:majorUnit val="10"/>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Entry>
      <c:overlay val="0"/>
      <c:spPr>
        <a:noFill/>
        <a:ln>
          <a:noFill/>
        </a:ln>
        <a:effectLst/>
      </c:spPr>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
    <c:plotVisOnly val="1"/>
    <c:dispBlanksAs val="gap"/>
    <c:showDLblsOverMax val="0"/>
  </c:chart>
  <c:spPr>
    <a:noFill/>
    <a:ln w="9525" cap="flat" cmpd="sng" algn="ctr">
      <a:noFill/>
      <a:prstDash val="solid"/>
      <a:round/>
    </a:ln>
    <a:effectLst/>
  </c:spPr>
  <c:txPr>
    <a:bodyPr/>
    <a:lstStyle/>
    <a:p>
      <a:pPr>
        <a:defRPr lang="zh-CN" sz="1200"/>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33783-AA30-41CC-8B99-E115BFCC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836</Words>
  <Characters>4770</Characters>
  <Application>Microsoft Office Word</Application>
  <DocSecurity>0</DocSecurity>
  <Lines>39</Lines>
  <Paragraphs>11</Paragraphs>
  <ScaleCrop>false</ScaleCrop>
  <Company>国家统计局</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 parker</cp:lastModifiedBy>
  <cp:revision>203</cp:revision>
  <cp:lastPrinted>2024-04-21T13:37:00Z</cp:lastPrinted>
  <dcterms:created xsi:type="dcterms:W3CDTF">2019-05-17T03:31:00Z</dcterms:created>
  <dcterms:modified xsi:type="dcterms:W3CDTF">2024-05-08T08:00:00Z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EC6406DE14334F028A0FF709FCA7D698_13</vt:lpwstr>
  </property>
</Properties>
</file>