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B9" w:rsidRDefault="00F567EC">
      <w:pPr>
        <w:pStyle w:val="2"/>
        <w:spacing w:line="240" w:lineRule="auto"/>
        <w:ind w:firstLine="0"/>
        <w:jc w:val="center"/>
        <w:rPr>
          <w:rFonts w:ascii="方正小标宋_GBK" w:eastAsia="方正小标宋_GBK" w:hAnsi="方正小标宋_GBK" w:cs="方正小标宋_GBK"/>
          <w:color w:val="0D0D0D" w:themeColor="text1" w:themeTint="F2"/>
          <w:kern w:val="0"/>
          <w:sz w:val="36"/>
          <w:szCs w:val="36"/>
          <w:lang w:bidi="ar"/>
        </w:rPr>
      </w:pPr>
      <w:r>
        <w:rPr>
          <w:rFonts w:ascii="方正大标宋简体" w:eastAsia="方正大标宋简体" w:hAnsi="方正大标宋简体" w:cs="方正大标宋简体" w:hint="eastAsia"/>
          <w:color w:val="0D0D0D" w:themeColor="text1" w:themeTint="F2"/>
          <w:kern w:val="0"/>
          <w:sz w:val="36"/>
          <w:szCs w:val="36"/>
          <w:lang w:bidi="ar"/>
        </w:rPr>
        <w:t>2024</w:t>
      </w:r>
      <w:r>
        <w:rPr>
          <w:rFonts w:ascii="方正小标宋_GBK" w:eastAsia="方正小标宋_GBK" w:hAnsi="方正小标宋_GBK" w:cs="方正小标宋_GBK" w:hint="eastAsia"/>
          <w:color w:val="0D0D0D" w:themeColor="text1" w:themeTint="F2"/>
          <w:kern w:val="0"/>
          <w:sz w:val="36"/>
          <w:szCs w:val="36"/>
          <w:lang w:bidi="ar"/>
        </w:rPr>
        <w:t>年湖北省统计局长阳经济社会调查队</w:t>
      </w:r>
    </w:p>
    <w:p w:rsidR="00225CB9" w:rsidRDefault="00F567EC">
      <w:pPr>
        <w:pStyle w:val="2"/>
        <w:spacing w:line="240" w:lineRule="auto"/>
        <w:ind w:firstLine="0"/>
        <w:jc w:val="center"/>
        <w:rPr>
          <w:rFonts w:ascii="方正小标宋_GBK" w:eastAsia="方正小标宋_GBK" w:hAnsi="方正小标宋_GBK" w:cs="方正小标宋_GBK"/>
          <w:color w:val="0D0D0D" w:themeColor="text1" w:themeTint="F2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D0D0D" w:themeColor="text1" w:themeTint="F2"/>
          <w:kern w:val="0"/>
          <w:sz w:val="36"/>
          <w:szCs w:val="36"/>
          <w:lang w:bidi="ar"/>
        </w:rPr>
        <w:t>预算公开情况说明</w:t>
      </w:r>
    </w:p>
    <w:p w:rsidR="00225CB9" w:rsidRDefault="00225CB9">
      <w:pPr>
        <w:rPr>
          <w:color w:val="0D0D0D" w:themeColor="text1" w:themeTint="F2"/>
          <w:sz w:val="36"/>
          <w:szCs w:val="36"/>
        </w:rPr>
      </w:pPr>
    </w:p>
    <w:p w:rsidR="00225CB9" w:rsidRDefault="00F567EC">
      <w:pPr>
        <w:spacing w:line="600" w:lineRule="exact"/>
        <w:jc w:val="center"/>
        <w:rPr>
          <w:rFonts w:ascii="方正小标宋简体" w:eastAsia="方正小标宋简体"/>
          <w:color w:val="0D0D0D" w:themeColor="text1" w:themeTint="F2"/>
          <w:sz w:val="36"/>
          <w:szCs w:val="36"/>
        </w:rPr>
      </w:pPr>
      <w:r>
        <w:rPr>
          <w:rFonts w:ascii="方正小标宋简体" w:eastAsia="方正小标宋简体" w:hint="eastAsia"/>
          <w:color w:val="0D0D0D" w:themeColor="text1" w:themeTint="F2"/>
          <w:sz w:val="36"/>
          <w:szCs w:val="36"/>
        </w:rPr>
        <w:t>目</w:t>
      </w:r>
      <w:r>
        <w:rPr>
          <w:rFonts w:ascii="方正小标宋简体" w:eastAsia="方正小标宋简体" w:hint="eastAsia"/>
          <w:color w:val="0D0D0D" w:themeColor="text1" w:themeTint="F2"/>
          <w:sz w:val="36"/>
          <w:szCs w:val="36"/>
        </w:rPr>
        <w:t xml:space="preserve">   </w:t>
      </w:r>
      <w:r>
        <w:rPr>
          <w:rFonts w:ascii="方正小标宋简体" w:eastAsia="方正小标宋简体" w:hint="eastAsia"/>
          <w:color w:val="0D0D0D" w:themeColor="text1" w:themeTint="F2"/>
          <w:sz w:val="36"/>
          <w:szCs w:val="36"/>
        </w:rPr>
        <w:t>录</w:t>
      </w:r>
    </w:p>
    <w:p w:rsidR="00225CB9" w:rsidRDefault="00225CB9">
      <w:pPr>
        <w:spacing w:line="600" w:lineRule="exact"/>
        <w:jc w:val="center"/>
        <w:rPr>
          <w:rFonts w:ascii="方正小标宋简体" w:eastAsia="方正小标宋简体"/>
          <w:color w:val="0D0D0D" w:themeColor="text1" w:themeTint="F2"/>
          <w:sz w:val="44"/>
          <w:szCs w:val="44"/>
        </w:rPr>
      </w:pPr>
    </w:p>
    <w:p w:rsidR="00225CB9" w:rsidRDefault="00F567EC">
      <w:pPr>
        <w:spacing w:line="600" w:lineRule="exact"/>
        <w:ind w:firstLineChars="200" w:firstLine="640"/>
        <w:rPr>
          <w:rFonts w:ascii="黑体" w:eastAsia="黑体" w:hAnsi="黑体"/>
          <w:color w:val="0D0D0D" w:themeColor="text1" w:themeTint="F2"/>
          <w:sz w:val="32"/>
          <w:szCs w:val="32"/>
        </w:rPr>
      </w:pPr>
      <w:bookmarkStart w:id="0" w:name="_Hlk134434084"/>
      <w:r>
        <w:rPr>
          <w:rFonts w:ascii="黑体" w:eastAsia="黑体" w:hAnsi="黑体" w:hint="eastAsia"/>
          <w:color w:val="0D0D0D" w:themeColor="text1" w:themeTint="F2"/>
          <w:sz w:val="32"/>
          <w:szCs w:val="32"/>
        </w:rPr>
        <w:t>一、单位主要职责</w:t>
      </w:r>
    </w:p>
    <w:p w:rsidR="00225CB9" w:rsidRDefault="00F567EC">
      <w:pPr>
        <w:spacing w:line="600" w:lineRule="exact"/>
        <w:ind w:firstLineChars="200" w:firstLine="640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Fonts w:ascii="黑体" w:eastAsia="黑体" w:hAnsi="黑体" w:hint="eastAsia"/>
          <w:color w:val="0D0D0D" w:themeColor="text1" w:themeTint="F2"/>
          <w:sz w:val="32"/>
          <w:szCs w:val="32"/>
        </w:rPr>
        <w:t>二、机构设置情况</w:t>
      </w:r>
    </w:p>
    <w:p w:rsidR="00225CB9" w:rsidRDefault="00F567EC">
      <w:pPr>
        <w:spacing w:line="600" w:lineRule="exact"/>
        <w:ind w:firstLineChars="200" w:firstLine="640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Fonts w:ascii="黑体" w:eastAsia="黑体" w:hAnsi="黑体" w:hint="eastAsia"/>
          <w:color w:val="0D0D0D" w:themeColor="text1" w:themeTint="F2"/>
          <w:sz w:val="32"/>
          <w:szCs w:val="32"/>
        </w:rPr>
        <w:t>三、预算收支及增减变化情况</w:t>
      </w:r>
    </w:p>
    <w:p w:rsidR="00225CB9" w:rsidRDefault="00F567EC">
      <w:pPr>
        <w:spacing w:line="600" w:lineRule="exact"/>
        <w:ind w:firstLineChars="200" w:firstLine="640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Fonts w:ascii="黑体" w:eastAsia="黑体" w:hAnsi="黑体" w:hint="eastAsia"/>
          <w:color w:val="0D0D0D" w:themeColor="text1" w:themeTint="F2"/>
          <w:sz w:val="32"/>
          <w:szCs w:val="32"/>
        </w:rPr>
        <w:t>四、机关运行经费安排情况</w:t>
      </w:r>
    </w:p>
    <w:p w:rsidR="00225CB9" w:rsidRDefault="00F567EC">
      <w:pPr>
        <w:spacing w:line="600" w:lineRule="exact"/>
        <w:ind w:firstLineChars="200" w:firstLine="640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Fonts w:ascii="黑体" w:eastAsia="黑体" w:hAnsi="黑体" w:hint="eastAsia"/>
          <w:color w:val="0D0D0D" w:themeColor="text1" w:themeTint="F2"/>
          <w:sz w:val="32"/>
          <w:szCs w:val="32"/>
        </w:rPr>
        <w:t>五、一般公共预算“三公”经费及增减变化情况</w:t>
      </w:r>
    </w:p>
    <w:p w:rsidR="00225CB9" w:rsidRDefault="00F567EC">
      <w:pPr>
        <w:spacing w:line="600" w:lineRule="exact"/>
        <w:ind w:firstLineChars="200" w:firstLine="640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Fonts w:ascii="黑体" w:eastAsia="黑体" w:hAnsi="黑体" w:hint="eastAsia"/>
          <w:color w:val="0D0D0D" w:themeColor="text1" w:themeTint="F2"/>
          <w:sz w:val="32"/>
          <w:szCs w:val="32"/>
        </w:rPr>
        <w:t>六、政府采购预算安排情况</w:t>
      </w:r>
    </w:p>
    <w:p w:rsidR="00225CB9" w:rsidRDefault="00F567EC">
      <w:pPr>
        <w:spacing w:line="600" w:lineRule="exact"/>
        <w:ind w:firstLineChars="200" w:firstLine="640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Fonts w:ascii="黑体" w:eastAsia="黑体" w:hAnsi="黑体" w:hint="eastAsia"/>
          <w:color w:val="0D0D0D" w:themeColor="text1" w:themeTint="F2"/>
          <w:sz w:val="32"/>
          <w:szCs w:val="32"/>
        </w:rPr>
        <w:t>七、国有资产占用情况</w:t>
      </w:r>
    </w:p>
    <w:p w:rsidR="00225CB9" w:rsidRDefault="00F567EC">
      <w:pPr>
        <w:spacing w:line="600" w:lineRule="exact"/>
        <w:ind w:firstLineChars="200" w:firstLine="640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Fonts w:ascii="黑体" w:eastAsia="黑体" w:hAnsi="黑体" w:hint="eastAsia"/>
          <w:color w:val="0D0D0D" w:themeColor="text1" w:themeTint="F2"/>
          <w:sz w:val="32"/>
          <w:szCs w:val="32"/>
        </w:rPr>
        <w:t>八、重点项目预算绩效情况</w:t>
      </w:r>
    </w:p>
    <w:p w:rsidR="00225CB9" w:rsidRDefault="00F567EC">
      <w:pPr>
        <w:spacing w:line="600" w:lineRule="exact"/>
        <w:ind w:firstLineChars="200" w:firstLine="640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Fonts w:ascii="黑体" w:eastAsia="黑体" w:hAnsi="黑体" w:hint="eastAsia"/>
          <w:color w:val="0D0D0D" w:themeColor="text1" w:themeTint="F2"/>
          <w:sz w:val="32"/>
          <w:szCs w:val="32"/>
        </w:rPr>
        <w:t>九、其他需要说明的情况</w:t>
      </w:r>
    </w:p>
    <w:p w:rsidR="00225CB9" w:rsidRDefault="00F567EC">
      <w:pPr>
        <w:spacing w:line="600" w:lineRule="exact"/>
        <w:ind w:firstLineChars="200" w:firstLine="640"/>
        <w:rPr>
          <w:rFonts w:ascii="黑体" w:eastAsia="黑体" w:hAnsi="黑体"/>
          <w:color w:val="0D0D0D" w:themeColor="text1" w:themeTint="F2"/>
          <w:sz w:val="32"/>
          <w:szCs w:val="32"/>
        </w:rPr>
      </w:pPr>
      <w:r>
        <w:rPr>
          <w:rFonts w:ascii="黑体" w:eastAsia="黑体" w:hAnsi="黑体" w:hint="eastAsia"/>
          <w:color w:val="0D0D0D" w:themeColor="text1" w:themeTint="F2"/>
          <w:sz w:val="32"/>
          <w:szCs w:val="32"/>
        </w:rPr>
        <w:t>十、专业名词解释</w:t>
      </w:r>
    </w:p>
    <w:bookmarkEnd w:id="0"/>
    <w:p w:rsidR="00225CB9" w:rsidRDefault="00225CB9">
      <w:pPr>
        <w:pStyle w:val="1"/>
        <w:rPr>
          <w:color w:val="0D0D0D" w:themeColor="text1" w:themeTint="F2"/>
          <w:sz w:val="36"/>
          <w:szCs w:val="36"/>
        </w:rPr>
      </w:pPr>
    </w:p>
    <w:p w:rsidR="00225CB9" w:rsidRDefault="00225CB9">
      <w:pPr>
        <w:pStyle w:val="1"/>
        <w:rPr>
          <w:color w:val="0D0D0D" w:themeColor="text1" w:themeTint="F2"/>
          <w:sz w:val="36"/>
          <w:szCs w:val="36"/>
        </w:rPr>
      </w:pPr>
    </w:p>
    <w:p w:rsidR="00225CB9" w:rsidRDefault="00225CB9">
      <w:pPr>
        <w:pStyle w:val="1"/>
        <w:rPr>
          <w:color w:val="0D0D0D" w:themeColor="text1" w:themeTint="F2"/>
          <w:sz w:val="36"/>
          <w:szCs w:val="36"/>
        </w:rPr>
      </w:pPr>
    </w:p>
    <w:p w:rsidR="00225CB9" w:rsidRDefault="00225CB9">
      <w:pPr>
        <w:pStyle w:val="1"/>
        <w:rPr>
          <w:color w:val="0D0D0D" w:themeColor="text1" w:themeTint="F2"/>
          <w:sz w:val="36"/>
          <w:szCs w:val="36"/>
        </w:rPr>
      </w:pPr>
    </w:p>
    <w:p w:rsidR="00225CB9" w:rsidRDefault="00225CB9">
      <w:pPr>
        <w:pStyle w:val="1"/>
        <w:rPr>
          <w:color w:val="0D0D0D" w:themeColor="text1" w:themeTint="F2"/>
          <w:sz w:val="36"/>
          <w:szCs w:val="36"/>
        </w:rPr>
      </w:pPr>
    </w:p>
    <w:p w:rsidR="00225CB9" w:rsidRDefault="00225CB9">
      <w:pPr>
        <w:pStyle w:val="1"/>
        <w:rPr>
          <w:color w:val="0D0D0D" w:themeColor="text1" w:themeTint="F2"/>
          <w:sz w:val="36"/>
          <w:szCs w:val="36"/>
        </w:rPr>
      </w:pPr>
    </w:p>
    <w:p w:rsidR="00225CB9" w:rsidRDefault="00225CB9">
      <w:pPr>
        <w:pStyle w:val="1"/>
        <w:rPr>
          <w:color w:val="0D0D0D" w:themeColor="text1" w:themeTint="F2"/>
          <w:sz w:val="36"/>
          <w:szCs w:val="36"/>
        </w:rPr>
      </w:pPr>
    </w:p>
    <w:p w:rsidR="00225CB9" w:rsidRDefault="00F567EC">
      <w:pPr>
        <w:spacing w:line="600" w:lineRule="exact"/>
        <w:ind w:firstLineChars="200" w:firstLine="640"/>
        <w:rPr>
          <w:rFonts w:ascii="Times New Roman" w:eastAsia="黑体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黑体" w:hAnsi="Times New Roman"/>
          <w:color w:val="0D0D0D" w:themeColor="text1" w:themeTint="F2"/>
          <w:sz w:val="32"/>
          <w:szCs w:val="32"/>
        </w:rPr>
        <w:t>一、单位主要职责</w:t>
      </w:r>
    </w:p>
    <w:p w:rsidR="00225CB9" w:rsidRDefault="00F567EC">
      <w:pPr>
        <w:spacing w:line="60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组织实施所辖区域统计数据质量核查工作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；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配合省局开展统计执法检查工作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；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承担上级调查机构布置的所辖区域内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“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四下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”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单位抽样调查工作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；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承担省局和省调查监测中心安排的重大战略监测、各项专项调查及其他工作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；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协助地方统计局完成大型国情国力调查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。</w:t>
      </w:r>
    </w:p>
    <w:p w:rsidR="00225CB9" w:rsidRDefault="00F567EC">
      <w:pPr>
        <w:spacing w:line="600" w:lineRule="exact"/>
        <w:ind w:firstLineChars="200" w:firstLine="640"/>
        <w:rPr>
          <w:rFonts w:ascii="Times New Roman" w:eastAsia="黑体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黑体" w:hAnsi="Times New Roman"/>
          <w:color w:val="0D0D0D" w:themeColor="text1" w:themeTint="F2"/>
          <w:sz w:val="32"/>
          <w:szCs w:val="32"/>
        </w:rPr>
        <w:t>二、机构设置情况</w:t>
      </w:r>
    </w:p>
    <w:p w:rsidR="00225CB9" w:rsidRDefault="00F567EC">
      <w:pPr>
        <w:widowControl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</w:rPr>
        <w:t>我单位分设</w:t>
      </w:r>
      <w:r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</w:rPr>
        <w:t>个内设机构：调查监测一科、调查监测二科。</w:t>
      </w:r>
    </w:p>
    <w:p w:rsidR="00225CB9" w:rsidRDefault="00F567EC">
      <w:pPr>
        <w:widowControl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楷体_GB2312" w:hAnsi="Times New Roman"/>
          <w:color w:val="0D0D0D" w:themeColor="text1" w:themeTint="F2"/>
          <w:kern w:val="0"/>
          <w:sz w:val="32"/>
          <w:szCs w:val="32"/>
        </w:rPr>
        <w:t>（一）</w:t>
      </w:r>
      <w:r>
        <w:rPr>
          <w:rFonts w:ascii="Times New Roman" w:eastAsia="楷体_GB2312" w:hAnsi="Times New Roman"/>
          <w:color w:val="0D0D0D" w:themeColor="text1" w:themeTint="F2"/>
          <w:kern w:val="0"/>
          <w:sz w:val="32"/>
          <w:szCs w:val="32"/>
        </w:rPr>
        <w:t>调查监测一科的主要职责是</w:t>
      </w:r>
      <w:r>
        <w:rPr>
          <w:rFonts w:ascii="Times New Roman" w:eastAsia="楷体_GB2312" w:hAnsi="Times New Roman"/>
          <w:color w:val="0D0D0D" w:themeColor="text1" w:themeTint="F2"/>
          <w:kern w:val="0"/>
          <w:sz w:val="32"/>
          <w:szCs w:val="32"/>
        </w:rPr>
        <w:t>:</w:t>
      </w:r>
      <w:r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</w:rPr>
        <w:t>负责统计数据质量监测和核查；负责调查队的日常管理和综合协调；开展相关统计调查和监测工作；参与统计执法相关工作；参与大型国情国力调查等重大统计工作；协助地方统计局开展相关工作；完成省统计局和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省统计局调查监测中心和宜昌调查监测分局交办的其他工作。</w:t>
      </w:r>
    </w:p>
    <w:p w:rsidR="00225CB9" w:rsidRDefault="00F567EC">
      <w:pPr>
        <w:widowControl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</w:rPr>
      </w:pPr>
      <w:r>
        <w:rPr>
          <w:rFonts w:ascii="Times New Roman" w:eastAsia="楷体_GB2312" w:hAnsi="Times New Roman"/>
          <w:color w:val="0D0D0D" w:themeColor="text1" w:themeTint="F2"/>
          <w:kern w:val="0"/>
          <w:sz w:val="32"/>
          <w:szCs w:val="32"/>
        </w:rPr>
        <w:t>（二）</w:t>
      </w:r>
      <w:r>
        <w:rPr>
          <w:rFonts w:ascii="Times New Roman" w:eastAsia="楷体_GB2312" w:hAnsi="Times New Roman"/>
          <w:color w:val="0D0D0D" w:themeColor="text1" w:themeTint="F2"/>
          <w:kern w:val="0"/>
          <w:sz w:val="32"/>
          <w:szCs w:val="32"/>
        </w:rPr>
        <w:t>调查监测二科的主要职责是</w:t>
      </w:r>
      <w:r>
        <w:rPr>
          <w:rFonts w:ascii="Times New Roman" w:eastAsia="楷体_GB2312" w:hAnsi="Times New Roman"/>
          <w:color w:val="0D0D0D" w:themeColor="text1" w:themeTint="F2"/>
          <w:kern w:val="0"/>
          <w:sz w:val="32"/>
          <w:szCs w:val="32"/>
        </w:rPr>
        <w:t>:</w:t>
      </w:r>
      <w:r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</w:rPr>
        <w:t>负责统计数据质量监测和核查；开展相关统计调查和监测工作；开展统计执法相关工作；参与大型国情国力调查等重大统计工作；协助地方统计局开展相关工作；完成省统计局和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省统计局调查监测中心和宜昌调查监测分局交办的其他工作。</w:t>
      </w:r>
    </w:p>
    <w:p w:rsidR="00225CB9" w:rsidRDefault="00F567EC">
      <w:pPr>
        <w:spacing w:line="600" w:lineRule="exact"/>
        <w:ind w:firstLineChars="200" w:firstLine="640"/>
        <w:rPr>
          <w:rFonts w:ascii="Times New Roman" w:eastAsia="黑体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黑体" w:hAnsi="Times New Roman"/>
          <w:color w:val="0D0D0D" w:themeColor="text1" w:themeTint="F2"/>
          <w:sz w:val="32"/>
          <w:szCs w:val="32"/>
        </w:rPr>
        <w:t>三、预算收支及增减变化情况</w:t>
      </w:r>
    </w:p>
    <w:p w:rsidR="00225CB9" w:rsidRDefault="00F567EC">
      <w:pPr>
        <w:spacing w:line="600" w:lineRule="exact"/>
        <w:ind w:firstLineChars="200" w:firstLine="660"/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</w:pP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1.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预算收入情况：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202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4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年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预算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收入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67.24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万元，比上年增加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5.4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万元，增加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8.73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%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，主要原因是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24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年有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2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名新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lastRenderedPageBreak/>
        <w:t>进人员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。其中：一般公共预算拨款收入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67.24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万元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,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比上年增加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5.4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万元，增加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8.73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%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。</w:t>
      </w:r>
    </w:p>
    <w:p w:rsidR="00225CB9" w:rsidRDefault="00F567EC">
      <w:pPr>
        <w:spacing w:line="600" w:lineRule="exact"/>
        <w:ind w:firstLineChars="200" w:firstLine="660"/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</w:pP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2.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预算支出情况：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2024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年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预算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支出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67.24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万元，比上年增加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5.4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万元，增加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8.73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%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。其中：一般公共服务支出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48.4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万元，比上年增加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5.36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万元，增加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12.45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%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；社会保障和就业支出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15.04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万元，比上年减少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0.64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万元，减少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4.08%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；住房保障支出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3.8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万元，比上年增加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0.68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万元，增加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21.79%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。</w:t>
      </w:r>
    </w:p>
    <w:p w:rsidR="00225CB9" w:rsidRDefault="00F567EC">
      <w:pPr>
        <w:spacing w:line="60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支出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增加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的主要原因：</w:t>
      </w:r>
    </w:p>
    <w:p w:rsidR="00225CB9" w:rsidRDefault="00F567EC">
      <w:pPr>
        <w:spacing w:line="60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（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1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）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202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4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年基本支出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65.24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万元，比上年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增加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8.4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万元，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增加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12.88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%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，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主要原因是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2024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年有新进人员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2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名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。</w:t>
      </w:r>
    </w:p>
    <w:p w:rsidR="00225CB9" w:rsidRDefault="00F567EC">
      <w:pPr>
        <w:spacing w:line="600" w:lineRule="exact"/>
        <w:ind w:firstLineChars="200" w:firstLine="660"/>
        <w:rPr>
          <w:rFonts w:ascii="Times New Roman" w:eastAsia="仿宋_GB2312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（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2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）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202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4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年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项目支出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2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万元，比上年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减少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3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万元，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减少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60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%</w:t>
      </w:r>
      <w:r>
        <w:rPr>
          <w:rFonts w:ascii="Times New Roman" w:eastAsia="仿宋_GB2312" w:hAnsi="Times New Roman"/>
          <w:bCs/>
          <w:smallCaps/>
          <w:color w:val="0D0D0D" w:themeColor="text1" w:themeTint="F2"/>
          <w:spacing w:val="5"/>
          <w:sz w:val="32"/>
          <w:szCs w:val="32"/>
        </w:rPr>
        <w:t>，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主要原因是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厉行节约，控制公务开支，优先保障人员经费，缩减项目经费规模。</w:t>
      </w:r>
    </w:p>
    <w:p w:rsidR="00225CB9" w:rsidRDefault="00F567EC">
      <w:pPr>
        <w:spacing w:line="600" w:lineRule="exact"/>
        <w:ind w:firstLineChars="200" w:firstLine="640"/>
        <w:rPr>
          <w:rFonts w:ascii="Times New Roman" w:eastAsia="黑体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黑体" w:hAnsi="Times New Roman"/>
          <w:color w:val="0D0D0D" w:themeColor="text1" w:themeTint="F2"/>
          <w:sz w:val="32"/>
          <w:szCs w:val="32"/>
        </w:rPr>
        <w:t>四、机关运行经费安排情况</w:t>
      </w:r>
    </w:p>
    <w:p w:rsidR="00225CB9" w:rsidRDefault="00F567EC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2024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年机关运行经费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6.6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万元，较上年相比增加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0.6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万元，增加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10%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，增加主要原因是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2024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年本单位将新进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2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人，支出相对增多。其中：办公费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1.08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万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元、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物业管理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费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1.5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万元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、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差旅费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0.42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万元、工会经费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0.4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万元、福利费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0.7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万元、其他交通费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1.3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万元、其他商品和服务支出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1.2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万元。</w:t>
      </w:r>
    </w:p>
    <w:p w:rsidR="0058510D" w:rsidRPr="003B7011" w:rsidRDefault="0058510D" w:rsidP="0058510D">
      <w:pPr>
        <w:widowControl/>
        <w:spacing w:line="52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3B7011">
        <w:rPr>
          <w:rFonts w:ascii="黑体" w:eastAsia="黑体" w:hAnsi="黑体" w:cs="Helvetica" w:hint="eastAsia"/>
          <w:bCs/>
          <w:kern w:val="0"/>
          <w:sz w:val="32"/>
          <w:szCs w:val="32"/>
        </w:rPr>
        <w:t>五、一般公共预算“三公”经费及增减变化情况</w:t>
      </w:r>
    </w:p>
    <w:p w:rsidR="0058510D" w:rsidRDefault="0058510D" w:rsidP="0058510D">
      <w:pPr>
        <w:widowControl/>
        <w:spacing w:line="52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2024年“三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公”经费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财政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拨款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预算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万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元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，</w:t>
      </w:r>
      <w:r>
        <w:rPr>
          <w:rFonts w:ascii="仿宋" w:eastAsia="仿宋" w:hAnsi="仿宋" w:cs="仿宋_GB2312" w:hint="eastAsia"/>
          <w:bCs/>
          <w:kern w:val="0"/>
          <w:sz w:val="32"/>
          <w:szCs w:val="32"/>
        </w:rPr>
        <w:t>比上年预算减少</w:t>
      </w:r>
      <w:r>
        <w:rPr>
          <w:rFonts w:ascii="仿宋" w:eastAsia="仿宋" w:hAnsi="仿宋" w:cs="仿宋_GB2312"/>
          <w:bCs/>
          <w:kern w:val="0"/>
          <w:sz w:val="32"/>
          <w:szCs w:val="32"/>
        </w:rPr>
        <w:t>0</w:t>
      </w:r>
      <w:r>
        <w:rPr>
          <w:rFonts w:ascii="仿宋" w:eastAsia="仿宋" w:hAnsi="仿宋" w:cs="仿宋_GB2312" w:hint="eastAsia"/>
          <w:bCs/>
          <w:kern w:val="0"/>
          <w:sz w:val="32"/>
          <w:szCs w:val="32"/>
        </w:rPr>
        <w:t>万</w:t>
      </w:r>
      <w:r>
        <w:rPr>
          <w:rFonts w:ascii="仿宋" w:eastAsia="仿宋" w:hAnsi="仿宋" w:cs="仿宋_GB2312"/>
          <w:bCs/>
          <w:kern w:val="0"/>
          <w:sz w:val="32"/>
          <w:szCs w:val="32"/>
        </w:rPr>
        <w:t>元，</w:t>
      </w:r>
      <w:r>
        <w:rPr>
          <w:rFonts w:ascii="仿宋" w:eastAsia="仿宋" w:hAnsi="仿宋" w:cs="仿宋_GB2312" w:hint="eastAsia"/>
          <w:bCs/>
          <w:kern w:val="0"/>
          <w:sz w:val="32"/>
          <w:szCs w:val="32"/>
        </w:rPr>
        <w:t>减少</w:t>
      </w:r>
      <w:r>
        <w:rPr>
          <w:rFonts w:ascii="仿宋" w:eastAsia="仿宋" w:hAnsi="仿宋" w:cs="仿宋_GB2312"/>
          <w:bCs/>
          <w:kern w:val="0"/>
          <w:sz w:val="32"/>
          <w:szCs w:val="32"/>
        </w:rPr>
        <w:t>0%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。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其中：</w:t>
      </w:r>
    </w:p>
    <w:p w:rsidR="0058510D" w:rsidRDefault="0058510D" w:rsidP="0058510D">
      <w:pPr>
        <w:widowControl/>
        <w:spacing w:line="52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lastRenderedPageBreak/>
        <w:t>1.因公出国（境）费</w:t>
      </w:r>
      <w:r>
        <w:rPr>
          <w:rFonts w:ascii="仿宋" w:eastAsia="仿宋" w:hAnsi="仿宋" w:cs="Arial"/>
          <w:sz w:val="32"/>
          <w:szCs w:val="32"/>
        </w:rPr>
        <w:t>0</w:t>
      </w:r>
      <w:r>
        <w:rPr>
          <w:rFonts w:ascii="仿宋" w:eastAsia="仿宋" w:hAnsi="仿宋" w:cs="Arial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</w:rPr>
        <w:t>比上年</w:t>
      </w:r>
      <w:r>
        <w:rPr>
          <w:rFonts w:ascii="仿宋" w:eastAsia="仿宋" w:hAnsi="仿宋" w:cs="仿宋_GB2312" w:hint="eastAsia"/>
          <w:bCs/>
          <w:kern w:val="0"/>
          <w:sz w:val="32"/>
          <w:szCs w:val="32"/>
        </w:rPr>
        <w:t>减少</w:t>
      </w:r>
      <w:r>
        <w:rPr>
          <w:rFonts w:ascii="仿宋" w:eastAsia="仿宋" w:hAnsi="仿宋" w:cs="仿宋_GB2312"/>
          <w:bCs/>
          <w:kern w:val="0"/>
          <w:sz w:val="32"/>
          <w:szCs w:val="32"/>
        </w:rPr>
        <w:t>0</w:t>
      </w:r>
      <w:r>
        <w:rPr>
          <w:rFonts w:ascii="仿宋_GB2312" w:eastAsia="仿宋_GB2312" w:hint="eastAsia"/>
          <w:sz w:val="32"/>
        </w:rPr>
        <w:t>万元，主要</w:t>
      </w:r>
      <w:r>
        <w:rPr>
          <w:rFonts w:ascii="仿宋_GB2312" w:eastAsia="仿宋_GB2312"/>
          <w:sz w:val="32"/>
        </w:rPr>
        <w:t>原因是：</w:t>
      </w:r>
      <w:r>
        <w:rPr>
          <w:rFonts w:ascii="仿宋" w:eastAsia="仿宋" w:hAnsi="仿宋" w:cs="Arial" w:hint="eastAsia"/>
          <w:sz w:val="32"/>
          <w:szCs w:val="32"/>
        </w:rPr>
        <w:t>因公出国由省局机关</w:t>
      </w:r>
      <w:r>
        <w:rPr>
          <w:rFonts w:ascii="仿宋" w:eastAsia="仿宋" w:hAnsi="仿宋" w:cs="Arial"/>
          <w:sz w:val="32"/>
          <w:szCs w:val="32"/>
        </w:rPr>
        <w:t>统一安排，我单位无此</w:t>
      </w:r>
      <w:r>
        <w:rPr>
          <w:rFonts w:ascii="仿宋" w:eastAsia="仿宋" w:hAnsi="仿宋" w:cs="Arial" w:hint="eastAsia"/>
          <w:sz w:val="32"/>
          <w:szCs w:val="32"/>
        </w:rPr>
        <w:t>项</w:t>
      </w:r>
      <w:r>
        <w:rPr>
          <w:rFonts w:ascii="仿宋" w:eastAsia="仿宋" w:hAnsi="仿宋" w:cs="Arial"/>
          <w:sz w:val="32"/>
          <w:szCs w:val="32"/>
        </w:rPr>
        <w:t>经费预算。</w:t>
      </w:r>
    </w:p>
    <w:p w:rsidR="0058510D" w:rsidRDefault="0058510D" w:rsidP="0058510D">
      <w:pPr>
        <w:widowControl/>
        <w:spacing w:line="52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2.公务接待费</w:t>
      </w:r>
      <w:r>
        <w:rPr>
          <w:rFonts w:ascii="仿宋" w:eastAsia="仿宋" w:hAnsi="仿宋" w:cs="Arial"/>
          <w:sz w:val="32"/>
          <w:szCs w:val="32"/>
        </w:rPr>
        <w:t>0</w:t>
      </w:r>
      <w:r>
        <w:rPr>
          <w:rFonts w:ascii="仿宋" w:eastAsia="仿宋" w:hAnsi="仿宋" w:cs="Arial" w:hint="eastAsia"/>
          <w:sz w:val="32"/>
          <w:szCs w:val="32"/>
        </w:rPr>
        <w:t>万元</w:t>
      </w:r>
      <w:r>
        <w:rPr>
          <w:rFonts w:ascii="仿宋" w:eastAsia="仿宋" w:hAnsi="仿宋" w:cs="Arial"/>
          <w:sz w:val="32"/>
          <w:szCs w:val="32"/>
        </w:rPr>
        <w:t>，</w:t>
      </w:r>
      <w:r>
        <w:rPr>
          <w:rFonts w:ascii="仿宋_GB2312" w:eastAsia="仿宋_GB2312" w:hint="eastAsia"/>
          <w:sz w:val="32"/>
        </w:rPr>
        <w:t>比上年</w:t>
      </w:r>
      <w:r>
        <w:rPr>
          <w:rFonts w:ascii="仿宋" w:eastAsia="仿宋" w:hAnsi="仿宋" w:cs="仿宋_GB2312" w:hint="eastAsia"/>
          <w:bCs/>
          <w:kern w:val="0"/>
          <w:sz w:val="32"/>
          <w:szCs w:val="32"/>
        </w:rPr>
        <w:t>减少</w:t>
      </w:r>
      <w:r>
        <w:rPr>
          <w:rFonts w:ascii="仿宋" w:eastAsia="仿宋" w:hAnsi="仿宋" w:cs="仿宋_GB2312"/>
          <w:bCs/>
          <w:kern w:val="0"/>
          <w:sz w:val="32"/>
          <w:szCs w:val="32"/>
        </w:rPr>
        <w:t>0</w:t>
      </w:r>
      <w:r>
        <w:rPr>
          <w:rFonts w:ascii="仿宋_GB2312" w:eastAsia="仿宋_GB2312" w:hint="eastAsia"/>
          <w:sz w:val="32"/>
        </w:rPr>
        <w:t>万元，主要</w:t>
      </w:r>
      <w:r>
        <w:rPr>
          <w:rFonts w:ascii="仿宋_GB2312" w:eastAsia="仿宋_GB2312"/>
          <w:sz w:val="32"/>
        </w:rPr>
        <w:t>原因是：</w:t>
      </w:r>
      <w:r>
        <w:rPr>
          <w:rFonts w:ascii="仿宋" w:eastAsia="仿宋" w:hAnsi="仿宋" w:cs="Arial" w:hint="eastAsia"/>
          <w:sz w:val="32"/>
          <w:szCs w:val="32"/>
        </w:rPr>
        <w:t>公务接待由县局机关</w:t>
      </w:r>
      <w:r>
        <w:rPr>
          <w:rFonts w:ascii="仿宋" w:eastAsia="仿宋" w:hAnsi="仿宋" w:cs="Arial"/>
          <w:sz w:val="32"/>
          <w:szCs w:val="32"/>
        </w:rPr>
        <w:t>统一安排，我单位无此</w:t>
      </w:r>
      <w:r>
        <w:rPr>
          <w:rFonts w:ascii="仿宋" w:eastAsia="仿宋" w:hAnsi="仿宋" w:cs="Arial" w:hint="eastAsia"/>
          <w:sz w:val="32"/>
          <w:szCs w:val="32"/>
        </w:rPr>
        <w:t>项</w:t>
      </w:r>
      <w:r>
        <w:rPr>
          <w:rFonts w:ascii="仿宋" w:eastAsia="仿宋" w:hAnsi="仿宋" w:cs="Arial"/>
          <w:sz w:val="32"/>
          <w:szCs w:val="32"/>
        </w:rPr>
        <w:t>经费预算。</w:t>
      </w:r>
    </w:p>
    <w:p w:rsidR="0058510D" w:rsidRDefault="0058510D" w:rsidP="0058510D">
      <w:pPr>
        <w:widowControl/>
        <w:spacing w:line="52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3.公务用车购置及运行维护费</w:t>
      </w:r>
      <w:r>
        <w:rPr>
          <w:rFonts w:ascii="仿宋" w:eastAsia="仿宋" w:hAnsi="仿宋" w:cs="Arial"/>
          <w:sz w:val="32"/>
          <w:szCs w:val="32"/>
        </w:rPr>
        <w:t>0</w:t>
      </w:r>
      <w:r>
        <w:rPr>
          <w:rFonts w:ascii="仿宋" w:eastAsia="仿宋" w:hAnsi="仿宋" w:cs="Arial" w:hint="eastAsia"/>
          <w:sz w:val="32"/>
          <w:szCs w:val="32"/>
        </w:rPr>
        <w:t>万元，</w:t>
      </w:r>
      <w:r>
        <w:rPr>
          <w:rFonts w:ascii="仿宋_GB2312" w:eastAsia="仿宋_GB2312" w:hint="eastAsia"/>
          <w:sz w:val="32"/>
        </w:rPr>
        <w:t>比上年</w:t>
      </w:r>
      <w:r>
        <w:rPr>
          <w:rFonts w:ascii="仿宋" w:eastAsia="仿宋" w:hAnsi="仿宋" w:cs="仿宋_GB2312" w:hint="eastAsia"/>
          <w:bCs/>
          <w:kern w:val="0"/>
          <w:sz w:val="32"/>
          <w:szCs w:val="32"/>
        </w:rPr>
        <w:t>减少</w:t>
      </w:r>
      <w:r>
        <w:rPr>
          <w:rFonts w:ascii="仿宋" w:eastAsia="仿宋" w:hAnsi="仿宋" w:cs="仿宋_GB2312"/>
          <w:bCs/>
          <w:sz w:val="32"/>
          <w:szCs w:val="32"/>
        </w:rPr>
        <w:t>0</w:t>
      </w:r>
      <w:r>
        <w:rPr>
          <w:rFonts w:ascii="仿宋_GB2312" w:eastAsia="仿宋_GB2312" w:hint="eastAsia"/>
          <w:sz w:val="32"/>
        </w:rPr>
        <w:t>万元，其中</w:t>
      </w:r>
      <w:r>
        <w:rPr>
          <w:rFonts w:ascii="仿宋_GB2312" w:eastAsia="仿宋_GB2312"/>
          <w:sz w:val="32"/>
        </w:rPr>
        <w:t>：公务用车购置0万元，</w:t>
      </w:r>
      <w:r>
        <w:rPr>
          <w:rFonts w:ascii="仿宋_GB2312" w:eastAsia="仿宋_GB2312" w:hint="eastAsia"/>
          <w:sz w:val="32"/>
        </w:rPr>
        <w:t>比上年</w:t>
      </w:r>
      <w:r>
        <w:rPr>
          <w:rFonts w:ascii="仿宋" w:eastAsia="仿宋" w:hAnsi="仿宋" w:cs="仿宋_GB2312" w:hint="eastAsia"/>
          <w:bCs/>
          <w:kern w:val="0"/>
          <w:sz w:val="32"/>
          <w:szCs w:val="32"/>
        </w:rPr>
        <w:t>减少</w:t>
      </w:r>
      <w:r>
        <w:rPr>
          <w:rFonts w:ascii="仿宋" w:eastAsia="仿宋" w:hAnsi="仿宋" w:cs="仿宋_GB2312"/>
          <w:bCs/>
          <w:kern w:val="0"/>
          <w:sz w:val="32"/>
          <w:szCs w:val="32"/>
        </w:rPr>
        <w:t>0</w:t>
      </w:r>
      <w:r>
        <w:rPr>
          <w:rFonts w:ascii="仿宋_GB2312" w:eastAsia="仿宋_GB2312" w:hint="eastAsia"/>
          <w:sz w:val="32"/>
        </w:rPr>
        <w:t>万元，主要</w:t>
      </w:r>
      <w:r>
        <w:rPr>
          <w:rFonts w:ascii="仿宋_GB2312" w:eastAsia="仿宋_GB2312"/>
          <w:sz w:val="32"/>
        </w:rPr>
        <w:t>原因是：公务用车购置</w:t>
      </w:r>
      <w:r>
        <w:rPr>
          <w:rFonts w:ascii="仿宋" w:eastAsia="仿宋" w:hAnsi="仿宋" w:cs="Arial" w:hint="eastAsia"/>
          <w:sz w:val="32"/>
          <w:szCs w:val="32"/>
        </w:rPr>
        <w:t>由县局机关</w:t>
      </w:r>
      <w:r>
        <w:rPr>
          <w:rFonts w:ascii="仿宋" w:eastAsia="仿宋" w:hAnsi="仿宋" w:cs="Arial"/>
          <w:sz w:val="32"/>
          <w:szCs w:val="32"/>
        </w:rPr>
        <w:t>统一安排，我单位无此</w:t>
      </w:r>
      <w:r>
        <w:rPr>
          <w:rFonts w:ascii="仿宋" w:eastAsia="仿宋" w:hAnsi="仿宋" w:cs="Arial" w:hint="eastAsia"/>
          <w:sz w:val="32"/>
          <w:szCs w:val="32"/>
        </w:rPr>
        <w:t>项</w:t>
      </w:r>
      <w:r>
        <w:rPr>
          <w:rFonts w:ascii="仿宋" w:eastAsia="仿宋" w:hAnsi="仿宋" w:cs="Arial"/>
          <w:sz w:val="32"/>
          <w:szCs w:val="32"/>
        </w:rPr>
        <w:t>经费预算。</w:t>
      </w:r>
      <w:r>
        <w:rPr>
          <w:rFonts w:ascii="仿宋" w:eastAsia="仿宋" w:hAnsi="仿宋" w:cs="Arial" w:hint="eastAsia"/>
          <w:sz w:val="32"/>
          <w:szCs w:val="32"/>
        </w:rPr>
        <w:t>公务用车运行维护费</w:t>
      </w:r>
      <w:r>
        <w:rPr>
          <w:rFonts w:ascii="仿宋" w:eastAsia="仿宋" w:hAnsi="仿宋" w:cs="Arial"/>
          <w:sz w:val="32"/>
          <w:szCs w:val="32"/>
        </w:rPr>
        <w:t>0</w:t>
      </w:r>
      <w:r>
        <w:rPr>
          <w:rFonts w:ascii="仿宋" w:eastAsia="仿宋" w:hAnsi="仿宋" w:cs="Arial" w:hint="eastAsia"/>
          <w:sz w:val="32"/>
          <w:szCs w:val="32"/>
        </w:rPr>
        <w:t>万元,</w:t>
      </w:r>
      <w:r>
        <w:rPr>
          <w:rFonts w:ascii="仿宋_GB2312" w:eastAsia="仿宋_GB2312" w:hint="eastAsia"/>
          <w:sz w:val="32"/>
        </w:rPr>
        <w:t xml:space="preserve"> 比上年</w:t>
      </w:r>
      <w:r>
        <w:rPr>
          <w:rFonts w:ascii="仿宋" w:eastAsia="仿宋" w:hAnsi="仿宋" w:cs="仿宋_GB2312" w:hint="eastAsia"/>
          <w:bCs/>
          <w:kern w:val="0"/>
          <w:sz w:val="32"/>
          <w:szCs w:val="32"/>
        </w:rPr>
        <w:t>减少</w:t>
      </w:r>
      <w:r>
        <w:rPr>
          <w:rFonts w:ascii="仿宋" w:eastAsia="仿宋" w:hAnsi="仿宋" w:cs="仿宋_GB2312"/>
          <w:bCs/>
          <w:kern w:val="0"/>
          <w:sz w:val="32"/>
          <w:szCs w:val="32"/>
        </w:rPr>
        <w:t>0</w:t>
      </w:r>
      <w:r>
        <w:rPr>
          <w:rFonts w:ascii="仿宋_GB2312" w:eastAsia="仿宋_GB2312" w:hint="eastAsia"/>
          <w:sz w:val="32"/>
        </w:rPr>
        <w:t>万元，主要</w:t>
      </w:r>
      <w:r>
        <w:rPr>
          <w:rFonts w:ascii="仿宋_GB2312" w:eastAsia="仿宋_GB2312"/>
          <w:sz w:val="32"/>
        </w:rPr>
        <w:t>原因是：</w:t>
      </w:r>
      <w:r>
        <w:rPr>
          <w:rFonts w:ascii="仿宋" w:eastAsia="仿宋" w:hAnsi="仿宋" w:cs="Arial" w:hint="eastAsia"/>
          <w:sz w:val="32"/>
          <w:szCs w:val="32"/>
        </w:rPr>
        <w:t>公务用车运行由县局机关</w:t>
      </w:r>
      <w:r>
        <w:rPr>
          <w:rFonts w:ascii="仿宋" w:eastAsia="仿宋" w:hAnsi="仿宋" w:cs="Arial"/>
          <w:sz w:val="32"/>
          <w:szCs w:val="32"/>
        </w:rPr>
        <w:t>统一安排，我单位无此</w:t>
      </w:r>
      <w:r>
        <w:rPr>
          <w:rFonts w:ascii="仿宋" w:eastAsia="仿宋" w:hAnsi="仿宋" w:cs="Arial" w:hint="eastAsia"/>
          <w:sz w:val="32"/>
          <w:szCs w:val="32"/>
        </w:rPr>
        <w:t>项</w:t>
      </w:r>
      <w:r>
        <w:rPr>
          <w:rFonts w:ascii="仿宋" w:eastAsia="仿宋" w:hAnsi="仿宋" w:cs="Arial"/>
          <w:sz w:val="32"/>
          <w:szCs w:val="32"/>
        </w:rPr>
        <w:t>经费预算。</w:t>
      </w:r>
    </w:p>
    <w:p w:rsidR="0058510D" w:rsidRPr="003B7011" w:rsidRDefault="0058510D" w:rsidP="0058510D">
      <w:pPr>
        <w:widowControl/>
        <w:spacing w:line="520" w:lineRule="exact"/>
        <w:ind w:firstLineChars="200" w:firstLine="640"/>
        <w:rPr>
          <w:rFonts w:ascii="黑体" w:eastAsia="黑体" w:hAnsi="黑体" w:cs="Helvetica"/>
          <w:bCs/>
          <w:kern w:val="0"/>
          <w:sz w:val="32"/>
          <w:szCs w:val="32"/>
        </w:rPr>
      </w:pPr>
      <w:r w:rsidRPr="003B7011">
        <w:rPr>
          <w:rFonts w:ascii="黑体" w:eastAsia="黑体" w:hAnsi="黑体" w:cs="Helvetica" w:hint="eastAsia"/>
          <w:bCs/>
          <w:kern w:val="0"/>
          <w:sz w:val="32"/>
          <w:szCs w:val="32"/>
        </w:rPr>
        <w:t>六、政府采购预算情况</w:t>
      </w:r>
    </w:p>
    <w:p w:rsidR="0058510D" w:rsidRDefault="0058510D" w:rsidP="0058510D">
      <w:pPr>
        <w:widowControl/>
        <w:spacing w:line="520" w:lineRule="exact"/>
        <w:ind w:firstLineChars="200" w:firstLine="640"/>
        <w:rPr>
          <w:rFonts w:ascii="仿宋" w:eastAsia="仿宋" w:hAnsi="仿宋" w:cs="Helvetica"/>
          <w:bCs/>
          <w:kern w:val="0"/>
          <w:sz w:val="32"/>
          <w:szCs w:val="32"/>
        </w:rPr>
      </w:pP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2024年我单位编制政府采购预算0万元，比上年度减少0万元，减少0%，主要原因：我单位未单独安排政府采购预算。其中：货物类政府采购预算0万元，主要用于无；工程类政府采购预算0万元，主要用于无；服务类政府采购预算0万元，主要用于无。</w:t>
      </w:r>
    </w:p>
    <w:p w:rsidR="0058510D" w:rsidRDefault="0058510D" w:rsidP="0058510D">
      <w:pPr>
        <w:widowControl/>
        <w:spacing w:line="520" w:lineRule="exact"/>
        <w:ind w:firstLineChars="200" w:firstLine="640"/>
        <w:rPr>
          <w:rFonts w:ascii="仿宋" w:eastAsia="仿宋" w:hAnsi="仿宋" w:cs="Helvetica"/>
          <w:bCs/>
          <w:kern w:val="0"/>
          <w:sz w:val="32"/>
          <w:szCs w:val="32"/>
        </w:rPr>
      </w:pP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2024年面向中小企业采购预算0万元，其中面向小微企业采购预算0万元。</w:t>
      </w:r>
    </w:p>
    <w:p w:rsidR="0058510D" w:rsidRPr="003B7011" w:rsidRDefault="0058510D" w:rsidP="0058510D">
      <w:pPr>
        <w:widowControl/>
        <w:spacing w:line="520" w:lineRule="exact"/>
        <w:ind w:firstLineChars="200" w:firstLine="640"/>
        <w:rPr>
          <w:rFonts w:ascii="黑体" w:eastAsia="黑体" w:hAnsi="黑体" w:cs="Helvetica"/>
          <w:bCs/>
          <w:kern w:val="0"/>
          <w:sz w:val="32"/>
          <w:szCs w:val="32"/>
        </w:rPr>
      </w:pPr>
      <w:r w:rsidRPr="003B7011">
        <w:rPr>
          <w:rFonts w:ascii="黑体" w:eastAsia="黑体" w:hAnsi="黑体" w:cs="Helvetica" w:hint="eastAsia"/>
          <w:bCs/>
          <w:kern w:val="0"/>
          <w:sz w:val="32"/>
          <w:szCs w:val="32"/>
        </w:rPr>
        <w:t>七、国有资产占用情况</w:t>
      </w:r>
    </w:p>
    <w:p w:rsidR="0058510D" w:rsidRDefault="0058510D" w:rsidP="0058510D">
      <w:pPr>
        <w:ind w:firstLineChars="200" w:firstLine="640"/>
        <w:rPr>
          <w:rFonts w:ascii="仿宋" w:eastAsia="仿宋" w:hAnsi="仿宋" w:cs="Helvetica"/>
          <w:bCs/>
          <w:kern w:val="0"/>
          <w:sz w:val="32"/>
          <w:szCs w:val="32"/>
        </w:rPr>
      </w:pP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截至2024年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，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我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单位占有房屋面积0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平方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米，其中：办公用房建筑面积0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平方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米，其他0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平方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米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。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公务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用车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辆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，其中：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副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省级干部及上以领导干部用车0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辆、机要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通信用车0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辆、应急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保障用车0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辆、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执法勤用车0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辆、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特种专业技术用车0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辆、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其他用车0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辆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，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其他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用车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主要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是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无。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单价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50万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lastRenderedPageBreak/>
        <w:t>元以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上的通用设备0台（套），单价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100万元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以上的专用设备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数量</w:t>
      </w:r>
      <w:r>
        <w:rPr>
          <w:rFonts w:ascii="仿宋" w:eastAsia="仿宋" w:hAnsi="仿宋" w:cs="Helvetica"/>
          <w:bCs/>
          <w:kern w:val="0"/>
          <w:sz w:val="32"/>
          <w:szCs w:val="32"/>
        </w:rPr>
        <w:t>为0台（套）</w:t>
      </w:r>
      <w:r>
        <w:rPr>
          <w:rFonts w:ascii="仿宋" w:eastAsia="仿宋" w:hAnsi="仿宋" w:cs="Helvetica" w:hint="eastAsia"/>
          <w:bCs/>
          <w:kern w:val="0"/>
          <w:sz w:val="32"/>
          <w:szCs w:val="32"/>
        </w:rPr>
        <w:t>。</w:t>
      </w:r>
    </w:p>
    <w:p w:rsidR="00225CB9" w:rsidRDefault="00F567EC" w:rsidP="0058510D">
      <w:pPr>
        <w:ind w:firstLineChars="200" w:firstLine="640"/>
        <w:rPr>
          <w:rFonts w:ascii="Times New Roman" w:eastAsia="黑体" w:hAnsi="Times New Roman"/>
          <w:color w:val="0D0D0D" w:themeColor="text1" w:themeTint="F2"/>
          <w:sz w:val="32"/>
          <w:szCs w:val="32"/>
          <w:highlight w:val="yellow"/>
        </w:rPr>
      </w:pPr>
      <w:r>
        <w:rPr>
          <w:rFonts w:ascii="Times New Roman" w:eastAsia="黑体" w:hAnsi="Times New Roman"/>
          <w:bCs/>
          <w:color w:val="0D0D0D" w:themeColor="text1" w:themeTint="F2"/>
          <w:kern w:val="0"/>
          <w:sz w:val="32"/>
          <w:szCs w:val="32"/>
        </w:rPr>
        <w:t>八、</w:t>
      </w:r>
      <w:r>
        <w:rPr>
          <w:rFonts w:ascii="Times New Roman" w:eastAsia="黑体" w:hAnsi="Times New Roman"/>
          <w:color w:val="0D0D0D" w:themeColor="text1" w:themeTint="F2"/>
          <w:sz w:val="32"/>
          <w:szCs w:val="32"/>
        </w:rPr>
        <w:t>重点项目预算绩效情况</w:t>
      </w:r>
    </w:p>
    <w:p w:rsidR="00225CB9" w:rsidRDefault="00F567EC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“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全省统计执法专项经费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”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主要内容是：</w:t>
      </w:r>
      <w:r>
        <w:rPr>
          <w:rFonts w:ascii="Times New Roman" w:eastAsia="仿宋_GB2312" w:hAnsi="Times New Roman"/>
          <w:b/>
          <w:color w:val="0D0D0D" w:themeColor="text1" w:themeTint="F2"/>
          <w:kern w:val="0"/>
          <w:sz w:val="32"/>
          <w:szCs w:val="32"/>
        </w:rPr>
        <w:t>一是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开展执法检查、督办以及数据质量核查；</w:t>
      </w:r>
      <w:r>
        <w:rPr>
          <w:rFonts w:ascii="Times New Roman" w:eastAsia="仿宋_GB2312" w:hAnsi="Times New Roman"/>
          <w:b/>
          <w:color w:val="0D0D0D" w:themeColor="text1" w:themeTint="F2"/>
          <w:kern w:val="0"/>
          <w:sz w:val="32"/>
          <w:szCs w:val="32"/>
        </w:rPr>
        <w:t>二是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开展统计执法宣传；</w:t>
      </w:r>
      <w:r>
        <w:rPr>
          <w:rFonts w:ascii="Times New Roman" w:eastAsia="仿宋_GB2312" w:hAnsi="Times New Roman"/>
          <w:b/>
          <w:color w:val="0D0D0D" w:themeColor="text1" w:themeTint="F2"/>
          <w:kern w:val="0"/>
          <w:sz w:val="32"/>
          <w:szCs w:val="32"/>
        </w:rPr>
        <w:t>三是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其他应急执法检查和专项检查任务。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2024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年预算安排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万元，全部为当年一般公共预算财政拨款。</w:t>
      </w:r>
    </w:p>
    <w:p w:rsidR="00225CB9" w:rsidRDefault="00F567EC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202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年度项目绩效总目标是</w:t>
      </w:r>
      <w:r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</w:rPr>
        <w:t>：健全统计执法机制，强化统计基层基础工作建设；参与省市统计执法业务宣传与培训，提升业务水平；完成长阳土家族自治县统计调查数据的质量监测和核查工作，及时将结果上报给上级部门。</w:t>
      </w:r>
    </w:p>
    <w:p w:rsidR="00225CB9" w:rsidRDefault="00F567E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</w:pP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产出指标：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数据质量检查频次为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次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/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年；办公用品采购验收通过率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100%</w:t>
      </w: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；数据及时按要求上报。</w:t>
      </w:r>
    </w:p>
    <w:p w:rsidR="00225CB9" w:rsidRDefault="00F567E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仿宋_GB2312" w:hAnsi="Times New Roman"/>
          <w:bCs/>
          <w:color w:val="0D0D0D" w:themeColor="text1" w:themeTint="F2"/>
          <w:kern w:val="0"/>
          <w:sz w:val="32"/>
          <w:szCs w:val="32"/>
        </w:rPr>
        <w:t>满意度指标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：统计法治宣传方式不低于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2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种。</w:t>
      </w:r>
    </w:p>
    <w:p w:rsidR="00225CB9" w:rsidRDefault="00F567EC">
      <w:pPr>
        <w:spacing w:line="600" w:lineRule="exact"/>
        <w:ind w:firstLineChars="200" w:firstLine="640"/>
        <w:rPr>
          <w:rFonts w:ascii="Times New Roman" w:eastAsia="黑体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黑体" w:hAnsi="Times New Roman"/>
          <w:color w:val="0D0D0D" w:themeColor="text1" w:themeTint="F2"/>
          <w:sz w:val="32"/>
          <w:szCs w:val="32"/>
        </w:rPr>
        <w:t>九、其他需要说明的情况</w:t>
      </w:r>
    </w:p>
    <w:p w:rsidR="00225CB9" w:rsidRDefault="00F567EC">
      <w:pPr>
        <w:pStyle w:val="a3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（一）</w:t>
      </w:r>
      <w:r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空表说明</w:t>
      </w:r>
    </w:p>
    <w:p w:rsidR="00225CB9" w:rsidRDefault="00F567EC">
      <w:pPr>
        <w:widowControl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我单位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2024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年无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“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三公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”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经费、政府性基金预算支出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,</w:t>
      </w:r>
      <w:r>
        <w:rPr>
          <w:rFonts w:ascii="Times New Roman" w:eastAsia="仿宋_GB2312" w:hAnsi="Times New Roman"/>
          <w:color w:val="0D0D0D" w:themeColor="text1" w:themeTint="F2"/>
          <w:sz w:val="32"/>
          <w:szCs w:val="32"/>
        </w:rPr>
        <w:t>故该表为空表。</w:t>
      </w:r>
    </w:p>
    <w:p w:rsidR="00225CB9" w:rsidRDefault="00F567EC">
      <w:pPr>
        <w:pStyle w:val="a3"/>
        <w:spacing w:before="0" w:beforeAutospacing="0" w:after="0" w:afterAutospacing="0" w:line="600" w:lineRule="exact"/>
        <w:ind w:firstLineChars="200" w:firstLine="640"/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（二）</w:t>
      </w:r>
      <w:r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  <w:shd w:val="clear" w:color="auto" w:fill="FFFFFF"/>
        </w:rPr>
        <w:t>其他情况说明</w:t>
      </w:r>
    </w:p>
    <w:p w:rsidR="00225CB9" w:rsidRDefault="00F567EC">
      <w:pPr>
        <w:widowControl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本单位专项支出。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年本单位专项支出为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0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，与上年相比无变化。</w:t>
      </w:r>
    </w:p>
    <w:p w:rsidR="00225CB9" w:rsidRDefault="00F567EC">
      <w:pPr>
        <w:widowControl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一般性转移支付支出。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年一般性转移支付支出为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0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，与上年相比无变化。</w:t>
      </w:r>
    </w:p>
    <w:p w:rsidR="00225CB9" w:rsidRDefault="00F567EC">
      <w:pPr>
        <w:widowControl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lastRenderedPageBreak/>
        <w:t>专项转移支付支出。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年专项转移支付支出为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0</w:t>
      </w:r>
      <w:r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，与上年相比无变化。</w:t>
      </w:r>
    </w:p>
    <w:p w:rsidR="00225CB9" w:rsidRDefault="00F567EC">
      <w:pPr>
        <w:spacing w:line="600" w:lineRule="exact"/>
        <w:ind w:firstLineChars="200" w:firstLine="640"/>
        <w:rPr>
          <w:rFonts w:ascii="Times New Roman" w:eastAsia="黑体" w:hAnsi="Times New Roman"/>
          <w:color w:val="0D0D0D" w:themeColor="text1" w:themeTint="F2"/>
          <w:sz w:val="32"/>
          <w:szCs w:val="32"/>
        </w:rPr>
      </w:pPr>
      <w:r>
        <w:rPr>
          <w:rFonts w:ascii="Times New Roman" w:eastAsia="黑体" w:hAnsi="Times New Roman"/>
          <w:color w:val="0D0D0D" w:themeColor="text1" w:themeTint="F2"/>
          <w:sz w:val="32"/>
          <w:szCs w:val="32"/>
        </w:rPr>
        <w:t>十、专业名词解释</w:t>
      </w:r>
    </w:p>
    <w:p w:rsidR="00225CB9" w:rsidRDefault="00F567EC">
      <w:pPr>
        <w:widowControl/>
        <w:ind w:firstLineChars="200" w:firstLine="640"/>
        <w:rPr>
          <w:rFonts w:ascii="仿宋_GB2312" w:eastAsia="仿宋_GB2312" w:hAnsi="Times New Roman" w:cs=".PingFang-SC-Light"/>
          <w:kern w:val="0"/>
          <w:sz w:val="32"/>
          <w:szCs w:val="32"/>
        </w:rPr>
      </w:pPr>
      <w:bookmarkStart w:id="1" w:name="_GoBack"/>
      <w:bookmarkEnd w:id="1"/>
      <w:r>
        <w:rPr>
          <w:rFonts w:ascii="仿宋_GB2312" w:eastAsia="仿宋_GB2312" w:hAnsi="Times New Roman" w:cs=".PingFang-SC-Light"/>
          <w:kern w:val="0"/>
          <w:sz w:val="32"/>
          <w:szCs w:val="32"/>
        </w:rPr>
        <w:t>1.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机关运行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：指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保障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位运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行使用一般公共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款安排的基本支出中的日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常公用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支出。包括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公及印刷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邮电费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、差旅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议费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、福利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、日常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用材料及一般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设备购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公用房水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电费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公用房取暖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公用房物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管理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以及其他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用。</w:t>
      </w:r>
    </w:p>
    <w:p w:rsidR="00225CB9" w:rsidRDefault="00F567E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2.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“三公”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：指使用一般公共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款安排的因公出国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境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置及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和公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。其中，因公出国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境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用反映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出国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境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的国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际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、国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外城市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交通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、住宿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、伙食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训费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杂费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等支出；公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置及运行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维护费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反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车车辆购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置支出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含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置税、牌照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、燃料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维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过桥过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险费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、安全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奖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用等支出；公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反映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定开支的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类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含外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宾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接待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 xml:space="preserve">)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用。</w:t>
      </w:r>
    </w:p>
    <w:p w:rsidR="00225CB9" w:rsidRDefault="00F567E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3.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政府采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：是指各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国家机关、事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位和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体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，使用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金采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依法制定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的集中采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录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以内的或者采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额标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准以上的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货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物、工程和服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的行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。政府采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仅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是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指具体的采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程，而且是采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政策、采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程序、采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程及采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管理的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总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称，是一种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公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共采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购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管理的制度，是一种政府行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。</w:t>
      </w:r>
    </w:p>
    <w:p w:rsidR="00225CB9" w:rsidRDefault="00F567E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lastRenderedPageBreak/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补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助</w:t>
      </w:r>
      <w:r>
        <w:rPr>
          <w:rFonts w:ascii="仿宋_GB2312" w:eastAsia="仿宋_GB2312" w:hAnsi="Times New Roman" w:cs=".PingFang-SC-Light"/>
          <w:kern w:val="0"/>
          <w:sz w:val="32"/>
          <w:szCs w:val="32"/>
        </w:rPr>
        <w:t>)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收入：指从同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级财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取得的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金。</w:t>
      </w:r>
    </w:p>
    <w:p w:rsidR="00225CB9" w:rsidRDefault="00F567E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5.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其他收入：指除上述“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财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拨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款收入”以外任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相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应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安排的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金。</w:t>
      </w:r>
    </w:p>
    <w:p w:rsidR="00225CB9" w:rsidRDefault="00F567EC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6.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基本支出：指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保障机构正常运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转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、完成日常工作任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生的人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员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支出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和公用支出。</w:t>
      </w:r>
    </w:p>
    <w:p w:rsidR="00225CB9" w:rsidRDefault="00F567EC">
      <w:pPr>
        <w:spacing w:line="600" w:lineRule="exact"/>
        <w:ind w:firstLineChars="200" w:firstLine="640"/>
        <w:rPr>
          <w:rFonts w:ascii="仿宋_GB2312" w:eastAsia="仿宋_GB2312" w:hAnsi="Times New Roman" w:cs=".PingFang-SC-Light"/>
          <w:kern w:val="0"/>
          <w:sz w:val="32"/>
          <w:szCs w:val="32"/>
        </w:rPr>
      </w:pPr>
      <w:r>
        <w:rPr>
          <w:rFonts w:ascii="仿宋_GB2312" w:eastAsia="仿宋_GB2312" w:hAnsi="Times New Roman" w:cs=".PingFang-SC-Light"/>
          <w:kern w:val="0"/>
          <w:sz w:val="32"/>
          <w:szCs w:val="32"/>
        </w:rPr>
        <w:t>7.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目支出：指在基本支出之外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完成特定行政任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和事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业发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展目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标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</w:t>
      </w:r>
      <w:r>
        <w:rPr>
          <w:rFonts w:ascii="仿宋_GB2312" w:eastAsia="仿宋_GB2312" w:hAnsi="MS Mincho" w:cs="MS Mincho" w:hint="eastAsia"/>
          <w:kern w:val="0"/>
          <w:sz w:val="32"/>
          <w:szCs w:val="32"/>
        </w:rPr>
        <w:t>生的支</w:t>
      </w:r>
      <w:r>
        <w:rPr>
          <w:rFonts w:ascii="仿宋_GB2312" w:eastAsia="仿宋_GB2312" w:hAnsi="Times New Roman" w:cs=".PingFang-SC-Light" w:hint="eastAsia"/>
          <w:kern w:val="0"/>
          <w:sz w:val="32"/>
          <w:szCs w:val="32"/>
        </w:rPr>
        <w:t>出。</w:t>
      </w:r>
    </w:p>
    <w:p w:rsidR="00225CB9" w:rsidRDefault="00225CB9">
      <w:pPr>
        <w:spacing w:line="600" w:lineRule="exact"/>
        <w:ind w:firstLineChars="200" w:firstLine="640"/>
        <w:rPr>
          <w:rFonts w:ascii="Times New Roman" w:eastAsia="仿宋_GB2312" w:hAnsi="Times New Roman"/>
          <w:color w:val="0D0D0D" w:themeColor="text1" w:themeTint="F2"/>
          <w:kern w:val="0"/>
          <w:sz w:val="32"/>
          <w:szCs w:val="32"/>
        </w:rPr>
      </w:pPr>
    </w:p>
    <w:p w:rsidR="00225CB9" w:rsidRDefault="00225CB9">
      <w:pPr>
        <w:rPr>
          <w:rFonts w:ascii="Times New Roman" w:hAnsi="Times New Roman"/>
          <w:color w:val="0D0D0D" w:themeColor="text1" w:themeTint="F2"/>
        </w:rPr>
      </w:pPr>
    </w:p>
    <w:sectPr w:rsidR="0022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EC" w:rsidRDefault="00F567EC" w:rsidP="0058510D">
      <w:r>
        <w:separator/>
      </w:r>
    </w:p>
  </w:endnote>
  <w:endnote w:type="continuationSeparator" w:id="0">
    <w:p w:rsidR="00F567EC" w:rsidRDefault="00F567EC" w:rsidP="0058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PingFang-SC-Light">
    <w:altName w:val="国标宋体-超大字符集"/>
    <w:charset w:val="0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EC" w:rsidRDefault="00F567EC" w:rsidP="0058510D">
      <w:r>
        <w:separator/>
      </w:r>
    </w:p>
  </w:footnote>
  <w:footnote w:type="continuationSeparator" w:id="0">
    <w:p w:rsidR="00F567EC" w:rsidRDefault="00F567EC" w:rsidP="00585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449A5"/>
    <w:rsid w:val="00225CB9"/>
    <w:rsid w:val="0058510D"/>
    <w:rsid w:val="00F567EC"/>
    <w:rsid w:val="0F795414"/>
    <w:rsid w:val="163E3333"/>
    <w:rsid w:val="4CBD1FF1"/>
    <w:rsid w:val="4FA707A2"/>
    <w:rsid w:val="6FEFD181"/>
    <w:rsid w:val="7B552893"/>
    <w:rsid w:val="7D1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105A83-6E1C-422D-9A04-1CC5BBC2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纯文本1"/>
    <w:basedOn w:val="a"/>
    <w:uiPriority w:val="99"/>
    <w:qFormat/>
    <w:rPr>
      <w:rFonts w:ascii="宋体" w:hAnsi="Courier New" w:cs="Courier New"/>
    </w:rPr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正文缩进 + 首行缩进:  2 字符"/>
    <w:basedOn w:val="a"/>
    <w:qFormat/>
    <w:pPr>
      <w:spacing w:line="560" w:lineRule="exact"/>
      <w:ind w:firstLine="640"/>
    </w:pPr>
    <w:rPr>
      <w:rFonts w:ascii="仿宋" w:eastAsia="仿宋" w:hAnsi="仿宋" w:cs="宋体"/>
      <w:sz w:val="32"/>
      <w:szCs w:val="20"/>
    </w:rPr>
  </w:style>
  <w:style w:type="paragraph" w:styleId="a4">
    <w:name w:val="header"/>
    <w:basedOn w:val="a"/>
    <w:link w:val="Char"/>
    <w:rsid w:val="00585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510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85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510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431</Words>
  <Characters>2459</Characters>
  <Application>Microsoft Office Word</Application>
  <DocSecurity>0</DocSecurity>
  <Lines>20</Lines>
  <Paragraphs>5</Paragraphs>
  <ScaleCrop>false</ScaleCrop>
  <Company>P R C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2024-03-07T11:00:00Z</cp:lastPrinted>
  <dcterms:created xsi:type="dcterms:W3CDTF">2024-02-26T17:27:00Z</dcterms:created>
  <dcterms:modified xsi:type="dcterms:W3CDTF">2024-03-12T09:12:00Z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  <property fmtid="{D5CDD505-2E9C-101B-9397-08002B2CF9AE}" pid="3" name="ICV">
    <vt:lpwstr>38B3391578624EE38736E80B0CF95133</vt:lpwstr>
  </property>
</Properties>
</file>