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overflowPunct w:val="0"/>
        <w:spacing w:after="0" w:line="580" w:lineRule="exact"/>
        <w:jc w:val="center"/>
        <w:outlineLvl w:val="1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2025年武汉市国民经济和社会发展统计公报</w:t>
      </w:r>
    </w:p>
    <w:p>
      <w:pPr>
        <w:suppressAutoHyphens/>
        <w:overflowPunct w:val="0"/>
        <w:spacing w:before="289" w:beforeLines="50" w:after="0" w:line="580" w:lineRule="exact"/>
        <w:jc w:val="center"/>
        <w:rPr>
          <w:rFonts w:ascii="方正楷体简体" w:eastAsia="方正楷体简体" w:cs="sans-serif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 w:cs="宋体"/>
          <w:color w:val="000000" w:themeColor="text1"/>
          <w:spacing w:val="112"/>
          <w:kern w:val="0"/>
          <w:sz w:val="28"/>
          <w:szCs w:val="28"/>
          <w:shd w:val="clear" w:color="auto" w:fill="FFFFFF"/>
          <w:fitText w:val="2800" w:id="1943481209"/>
          <w14:textFill>
            <w14:solidFill>
              <w14:schemeClr w14:val="tx1"/>
            </w14:solidFill>
          </w14:textFill>
        </w:rPr>
        <w:t>武汉市统计</w:t>
      </w:r>
      <w:r>
        <w:rPr>
          <w:rFonts w:hint="eastAsia" w:ascii="方正楷体简体" w:eastAsia="方正楷体简体" w:cs="宋体"/>
          <w:color w:val="000000" w:themeColor="text1"/>
          <w:spacing w:val="0"/>
          <w:kern w:val="0"/>
          <w:sz w:val="28"/>
          <w:szCs w:val="28"/>
          <w:shd w:val="clear" w:color="auto" w:fill="FFFFFF"/>
          <w:fitText w:val="2800" w:id="1943481209"/>
          <w14:textFill>
            <w14:solidFill>
              <w14:schemeClr w14:val="tx1"/>
            </w14:solidFill>
          </w14:textFill>
        </w:rPr>
        <w:t>局</w:t>
      </w:r>
    </w:p>
    <w:p>
      <w:pPr>
        <w:suppressAutoHyphens/>
        <w:overflowPunct w:val="0"/>
        <w:spacing w:after="0" w:line="580" w:lineRule="exact"/>
        <w:jc w:val="center"/>
        <w:rPr>
          <w:rFonts w:ascii="方正楷体简体" w:eastAsia="方正楷体简体" w:cs="sans-serif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国家统计局武汉调查队</w:t>
      </w:r>
    </w:p>
    <w:p>
      <w:pPr>
        <w:shd w:val="clear" w:color="auto" w:fill="FFFFFF"/>
        <w:overflowPunct w:val="0"/>
        <w:spacing w:after="0" w:line="580" w:lineRule="exact"/>
        <w:ind w:firstLine="592"/>
        <w:rPr>
          <w:rFonts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overflowPunct w:val="0"/>
        <w:spacing w:after="0" w:line="600" w:lineRule="exact"/>
        <w:ind w:firstLine="59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是“十四五”规划收官之年，是承前启后、继往开来的一年。一年来，全市上下坚持以习近平新时代中国特色社会主义思想为指导，始终牢记习近平总书记殷殷嘱托，在省委、省政府坚强领导下，聚焦支点建设，提振“四气”精神，全力以赴稳增长、促转型、惠民生、防风险，经济运行稳中有进、向新向优，高质量发展呈现生机勃勃的良好态势，奋力谱写中国式现代化武汉篇章取得明显成效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一、综合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初步核算，2025年，全市实现地区生产总值（GDP）22147.35亿元，按不变价格计算，比上年增长5.6%。分产业看，第一产业增加值481.21亿元，增长3.8%；第二产业增加值6589.72亿元，增长5.0%；第三产业增加值15076.42亿元，增长5.9%。三次产业结构为2.2∶29.7∶68.1。</w:t>
      </w:r>
    </w:p>
    <w:p>
      <w:pPr>
        <w:widowControl/>
        <w:spacing w:after="160" w:line="278" w:lineRule="auto"/>
        <w:jc w:val="left"/>
        <w:rPr>
          <w:rFonts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CESI仿宋-GB1300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 w:color="auto" w:fill="FFFFFF"/>
        <w:suppressAutoHyphens/>
        <w:overflowPunct w:val="0"/>
        <w:snapToGrid w:val="0"/>
        <w:spacing w:after="0" w:line="400" w:lineRule="exact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385445</wp:posOffset>
            </wp:positionV>
            <wp:extent cx="4975225" cy="3218180"/>
            <wp:effectExtent l="4445" t="4445" r="11430" b="15875"/>
            <wp:wrapTopAndBottom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图1　2021-2025年武汉市地区生产总值及其增长速度</w:t>
      </w:r>
    </w:p>
    <w:p>
      <w:pPr>
        <w:shd w:val="clear" w:color="auto" w:fill="FFFFFF"/>
        <w:overflowPunct w:val="0"/>
        <w:spacing w:before="579" w:beforeLines="100" w:after="0" w:line="278" w:lineRule="auto"/>
        <w:jc w:val="center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图2　2021-2025年三次产业增加值占地区生产总值比重</w:t>
      </w:r>
    </w:p>
    <w:p>
      <w:pPr>
        <w:shd w:val="clear" w:color="auto" w:fill="FFFFFF"/>
        <w:overflowPunct w:val="0"/>
        <w:spacing w:after="0" w:line="240" w:lineRule="exact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116205</wp:posOffset>
            </wp:positionV>
            <wp:extent cx="4910455" cy="3254375"/>
            <wp:effectExtent l="4445" t="4445" r="19050" b="17780"/>
            <wp:wrapTopAndBottom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hd w:val="clear" w:color="auto" w:fill="FFFFFF"/>
        <w:overflowPunct w:val="0"/>
        <w:spacing w:after="0" w:line="560" w:lineRule="exact"/>
        <w:ind w:firstLine="560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年末全市常住人口13</w:t>
      </w:r>
      <w:r>
        <w:rPr>
          <w:rFonts w:hint="eastAsia" w:cs="CESI仿宋-GB13000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eastAsia" w:cs="CESI仿宋-GB13000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万人</w:t>
      </w:r>
      <w:r>
        <w:rPr>
          <w:rFonts w:hint="eastAsia" w:cs="CESI仿宋-GB13000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，城镇化率达到85.22%</w:t>
      </w: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。年末全市户籍人口961.34万人，比上年增长0.5%。全年城镇新增就业29.90万人，比上年多增0.10万人，增长0.3%。</w:t>
      </w:r>
    </w:p>
    <w:p>
      <w:pPr>
        <w:shd w:val="clear" w:color="auto" w:fill="FFFFFF"/>
        <w:overflowPunct w:val="0"/>
        <w:spacing w:after="0" w:line="560" w:lineRule="exact"/>
        <w:ind w:firstLine="560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全市居民消费价格比上年上涨0.4%。从分类看，食品烟酒价格下降0.5%，衣着价格上涨2.8%，居住价格上涨0.3%，生活用品及服务价格上涨0.8%，交通通信价格下降2.3%，教育文化娱乐价格上涨1.8%，医疗保健价格上涨0.4%，其他用品及服务价格上涨9.6%。</w:t>
      </w:r>
      <w:bookmarkStart w:id="0" w:name="_GoBack"/>
      <w:bookmarkEnd w:id="0"/>
    </w:p>
    <w:p>
      <w:pPr>
        <w:shd w:val="clear" w:color="auto" w:fill="FFFFFF"/>
        <w:overflowPunct w:val="0"/>
        <w:spacing w:after="0" w:line="560" w:lineRule="exact"/>
        <w:ind w:firstLine="560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年末全市市场主体269.89万户，比上年增长14.2%，其中，企业127.29万户，增长20.7%；个体工商户141.96万户，增长9.1%。全年新登记市场主体61.48万户，增长10.8%，其中，新登记企业33.11万户，增长30.8%。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二、农业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农林牧渔业增加值527.88亿元，比上年增长4.0%。主要农产品中，粮食产量91.55万吨，增长0.3%；蔬菜及食用菌产量884.14万吨，增长3.5%；水产品产量51.79万吨，增长4.6%；禽蛋产量14.39万吨，增长4.1%；生猪出栏220.77万头，增长5.7%。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三、工业和建筑业</w:t>
      </w:r>
    </w:p>
    <w:p>
      <w:pPr>
        <w:shd w:val="clear" w:color="auto" w:fill="FFFFFF"/>
        <w:suppressAutoHyphens/>
        <w:overflowPunct w:val="0"/>
        <w:spacing w:after="0" w:line="560" w:lineRule="exact"/>
        <w:ind w:firstLine="645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规模以上工业增加值比上年增长6.2%。其中，计算机、通信和其他电子设备制造业增加值增长18.9%，黑色金属冶炼和压延加工业增长12.1%，汽车制造业增长11.7%，电气机械和器材制造业增长11.5%，化学原料和化学制品制造业增长10.1%。</w:t>
      </w:r>
    </w:p>
    <w:p>
      <w:pPr>
        <w:shd w:val="clear" w:color="auto" w:fill="FFFFFF"/>
        <w:suppressAutoHyphens/>
        <w:overflowPunct w:val="0"/>
        <w:spacing w:after="0" w:line="540" w:lineRule="exact"/>
        <w:ind w:firstLine="645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年末规模以上工业企业资产总计22998.23亿元，增长4.4%；全年规模以上工业企业实现利润总额802.29亿元，增长46.8%。</w:t>
      </w:r>
    </w:p>
    <w:p>
      <w:pPr>
        <w:shd w:val="clear" w:color="auto" w:fill="FFFFFF"/>
        <w:suppressAutoHyphens/>
        <w:overflowPunct w:val="0"/>
        <w:spacing w:after="0" w:line="540" w:lineRule="exact"/>
        <w:ind w:firstLine="645"/>
        <w:rPr>
          <w:rFonts w:cs="CESI仿宋-GB1300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全年规模以上工业中，高技术制造业增加值增长16.6%，增速高规模以上工业10.4个百分点，占规模以上工业增加值的比重为26.2%</w:t>
      </w:r>
      <w:r>
        <w:rPr>
          <w:rFonts w:hint="eastAsia" w:cs="CESI仿宋-GB13000"/>
          <w:color w:val="000000" w:themeColor="text1"/>
          <w:spacing w:val="-2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表1　2025年</w:t>
      </w: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规模以上</w:t>
      </w: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工业主要产品产量及其增长速度</w:t>
      </w:r>
    </w:p>
    <w:tbl>
      <w:tblPr>
        <w:tblStyle w:val="2"/>
        <w:tblW w:w="76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288"/>
        <w:gridCol w:w="1410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ascii="方正黑体简体" w:eastAsia="方正黑体简体" w:cs="Droid Sans Fallbac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 w:cs="Droid Sans Fallbac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ascii="方正黑体简体" w:eastAsia="方正黑体简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ascii="方正黑体简体" w:eastAsia="方正黑体简体" w:cs="Droid Sans Fallbac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 w:cs="Droid Sans Fallbac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ascii="方正黑体简体" w:eastAsia="方正黑体简体" w:cs="Droid Sans Fallbac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 w:cs="Droid Sans Fallbac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比上年增长</w:t>
            </w:r>
            <w:r>
              <w:rPr>
                <w:rFonts w:hint="eastAsia" w:ascii="方正黑体简体" w:eastAsia="方正黑体简体" w:cs="Arial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方正黑体简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方正黑体简体" w:eastAsia="方正黑体简体" w:cs="Arial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生铁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1370.19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-4.5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1583.22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汽车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万辆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81.10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卷烟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万箱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283.52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原油加工量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809.84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发电量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亿千瓦时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266.75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机制纸及纸板</w:t>
            </w:r>
          </w:p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（外购原纸加工除外）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72.80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14.9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房间空气调节器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万台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2314.19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万米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8509.12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-11.7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服装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万件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6265.60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-12.6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饮料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334.88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-8.0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万台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2018.31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-12.6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乙烯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105.85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61.2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光纤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万千米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13049.11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光缆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万芯千米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4384.70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水泥</w:t>
            </w:r>
          </w:p>
        </w:tc>
        <w:tc>
          <w:tcPr>
            <w:tcW w:w="128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410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1098.13 </w:t>
            </w:r>
          </w:p>
        </w:tc>
        <w:tc>
          <w:tcPr>
            <w:tcW w:w="2100" w:type="dxa"/>
            <w:tcBorders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万台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6950.81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11.3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电子计算机整机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万台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1988.00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46.0 </w:t>
            </w:r>
          </w:p>
        </w:tc>
      </w:tr>
    </w:tbl>
    <w:p>
      <w:pPr>
        <w:shd w:val="clear" w:color="auto" w:fill="FFFFFF"/>
        <w:overflowPunct w:val="0"/>
        <w:spacing w:after="0" w:line="540" w:lineRule="exact"/>
        <w:ind w:firstLine="592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全年具有总承包和专业承包资质等级的建筑业企业2190家，完成建筑业总产值13767.16亿元，比上年增长0.7%。</w:t>
      </w:r>
    </w:p>
    <w:p>
      <w:pPr>
        <w:shd w:val="clear" w:color="auto" w:fill="FFFFFF"/>
        <w:overflowPunct w:val="0"/>
        <w:spacing w:after="0" w:line="540" w:lineRule="exact"/>
        <w:ind w:firstLine="632" w:firstLineChars="200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四、固定资产投资</w:t>
      </w:r>
    </w:p>
    <w:p>
      <w:pPr>
        <w:shd w:val="clear" w:color="auto" w:fill="FFFFFF"/>
        <w:overflowPunct w:val="0"/>
        <w:spacing w:after="0" w:line="540" w:lineRule="exact"/>
        <w:ind w:firstLine="632" w:firstLineChars="200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全年固定资产投资（不含农户）比上年增长2.0%。按产业分，第一产业投资增长64.1%；第二产业投资增长9.9%，其中工业投资增长9.7%；第三产业投资下降1.0%。基础设施投资增长2.5%。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表2　2025年分行业固定资产投资（不含农户）增长速度</w:t>
      </w:r>
    </w:p>
    <w:tbl>
      <w:tblPr>
        <w:tblStyle w:val="2"/>
        <w:tblW w:w="7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2"/>
        <w:gridCol w:w="2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40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eastAsia="方正黑体简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overflowPunct w:val="0"/>
              <w:snapToGrid w:val="0"/>
              <w:spacing w:after="0" w:line="278" w:lineRule="auto"/>
              <w:jc w:val="center"/>
              <w:textAlignment w:val="center"/>
              <w:rPr>
                <w:rFonts w:eastAsia="方正黑体简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简体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比上年增长</w:t>
            </w:r>
            <w:r>
              <w:rPr>
                <w:rFonts w:eastAsia="方正黑体简体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固定资产投资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（一）农、林、牧、渔业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（二）采矿业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（三）制造业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（四）电力、燃气及水的生产和供应业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（五）建筑业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（六）批发和零售业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（七）交通运输、仓储和邮政业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（八）住宿和餐饮业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（九）信息传输、软件和信息技术服务业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（十）金融业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-34.5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（十一）房地产业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（十二）租赁和商务服务业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（十三）科学研究和技术服务业 </w:t>
            </w:r>
          </w:p>
        </w:tc>
        <w:tc>
          <w:tcPr>
            <w:tcW w:w="2431" w:type="dxa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（十四）水利、环境和公共设施管理业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（十五）居民服务和其他服务业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-41.8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（十六）教育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-6.8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（十七）卫生和社会工作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（十八）文化、体育和娱乐业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（十九）公共管理、社会保障和社会组织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（二十）国际组织 </w:t>
            </w: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78" w:lineRule="auto"/>
              <w:jc w:val="right"/>
              <w:textAlignment w:val="center"/>
              <w:rPr>
                <w:rFonts w:eastAsia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FFFFFF"/>
        <w:overflowPunct w:val="0"/>
        <w:spacing w:after="0" w:line="560" w:lineRule="exact"/>
        <w:ind w:firstLine="560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全年房地产开发投资比上年下降4.1%，其中住宅开发投资下降5.4%。全市房屋施工面积13889.02万平方米，其中，本年新开工面积1234.37万平方米，比上年增长13.1%。全年房屋竣工面积935.65万平方米。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全年完成城中村改造3.22万户，老旧小区改造322个。保障性住房投资41.32亿元，建成保障性住房5.64万套，筹集租赁房8.50万套。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五、国内贸易</w:t>
      </w:r>
    </w:p>
    <w:p>
      <w:pPr>
        <w:shd w:val="clear" w:color="auto" w:fill="FFFFFF"/>
        <w:overflowPunct w:val="0"/>
        <w:spacing w:after="0" w:line="56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社会消费品零售总额9013.96亿元，比上年增长4.5%。按商品形态分，商品零售额8464.60亿元，增长4.7%；餐饮收入549.36亿元，增长1.3%。按销售类值分，限额以上单位15大类商品零售额中，金银珠宝类、烟酒类、日用品类、化妆品类商品零售额分别增长25.2%、16.9%、14.4%和11.4%。全年限上单位实物商品网上零售额增长12.2%，占限上社零额的比重为36.1%。</w:t>
      </w:r>
    </w:p>
    <w:p>
      <w:pPr>
        <w:shd w:val="clear" w:color="auto" w:fill="FFFFFF"/>
        <w:suppressAutoHyphens/>
        <w:overflowPunct w:val="0"/>
        <w:snapToGrid w:val="0"/>
        <w:spacing w:before="173" w:beforeLines="30"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图3　2021-2025年社会消费品零售总额</w:t>
      </w:r>
    </w:p>
    <w:p>
      <w:pPr>
        <w:shd w:val="clear" w:color="auto" w:fill="FFFFFF"/>
        <w:overflowPunct w:val="0"/>
        <w:spacing w:after="0" w:line="560" w:lineRule="exact"/>
        <w:ind w:firstLine="632" w:firstLineChars="200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1349375</wp:posOffset>
            </wp:positionH>
            <wp:positionV relativeFrom="page">
              <wp:posOffset>1450340</wp:posOffset>
            </wp:positionV>
            <wp:extent cx="5205730" cy="2768600"/>
            <wp:effectExtent l="4445" t="4445" r="9525" b="8255"/>
            <wp:wrapTopAndBottom/>
            <wp:docPr id="18758496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六、对外开放</w:t>
      </w:r>
    </w:p>
    <w:p>
      <w:pPr>
        <w:shd w:val="clear" w:color="auto" w:fill="FFFFFF"/>
        <w:overflowPunct w:val="0"/>
        <w:spacing w:after="0" w:line="560" w:lineRule="exact"/>
        <w:ind w:firstLine="632" w:firstLineChars="20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全年全市进出口总额达4548.5亿元，比上年增长12.7%。其中，出口2968.5亿元，增长13.2%；进口1580.0亿元，增长11.9%。“一带一路”国家进出口总额2121.9亿元，增长10.4%。对外承包工程完成营业额76.11亿美元，增长24.0%。</w:t>
      </w:r>
    </w:p>
    <w:p>
      <w:pPr>
        <w:shd w:val="clear" w:color="auto" w:fill="FFFFFF"/>
        <w:suppressAutoHyphens/>
        <w:overflowPunct w:val="0"/>
        <w:snapToGrid w:val="0"/>
        <w:spacing w:before="173" w:beforeLines="30"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图4　2021-2025年货物进出口总额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20955</wp:posOffset>
            </wp:positionV>
            <wp:extent cx="4773295" cy="2725420"/>
            <wp:effectExtent l="4445" t="4445" r="22860" b="13335"/>
            <wp:wrapNone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eastAsia="宋体" w:cs="Calibri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uppressAutoHyphens/>
        <w:overflowPunct w:val="0"/>
        <w:spacing w:after="0" w:line="600" w:lineRule="exact"/>
        <w:ind w:firstLine="632" w:firstLineChars="200"/>
        <w:contextualSpacing/>
        <w:rPr>
          <w:rFonts w:cs="CESI仿宋-GB1300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uppressAutoHyphens/>
        <w:overflowPunct w:val="0"/>
        <w:spacing w:after="0" w:line="520" w:lineRule="exact"/>
        <w:ind w:firstLine="632" w:firstLineChars="200"/>
        <w:contextualSpacing/>
        <w:rPr>
          <w:rFonts w:cs="CESI仿宋-GB1300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uppressAutoHyphens/>
        <w:overflowPunct w:val="0"/>
        <w:spacing w:after="0" w:line="600" w:lineRule="exact"/>
        <w:ind w:firstLine="632" w:firstLineChars="200"/>
        <w:contextualSpacing/>
        <w:rPr>
          <w:rFonts w:cs="CESI仿宋-GB13000"/>
          <w:color w:val="000000" w:themeColor="text1"/>
          <w:kern w:val="0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全年实际使用外资</w:t>
      </w:r>
      <w:r>
        <w:rPr>
          <w:rFonts w:hint="eastAsia" w:cs="CESI仿宋-GB13000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CESI仿宋-GB1300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.01亿美元。全市新批外商投资企业428家，比上年增长5.2%。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  <w:t>全市共有外国驻汉领事馆4个；国际友好城市30个，比上年新增1个；国际友好交流城市（区）97个；境外驻汉代表机构23家；接待外宾及港澳同胞2180人次。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七、财政和金融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全年完成地方一般公共预算收入1743.06亿元，比上年增长4.5%。其中，税收收入1225.10亿元，增长0.1%。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图5　2021-2025年地方一般公共预算收入</w:t>
      </w:r>
    </w:p>
    <w:p>
      <w:pPr>
        <w:shd w:val="clear" w:color="auto" w:fill="FFFFFF"/>
        <w:overflowPunct w:val="0"/>
        <w:spacing w:after="0" w:line="278" w:lineRule="auto"/>
        <w:jc w:val="center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007610" cy="2857500"/>
            <wp:effectExtent l="5080" t="4445" r="16510" b="14605"/>
            <wp:docPr id="13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宋体"/>
          <w:color w:val="000000" w:themeColor="text1"/>
          <w:kern w:val="0"/>
          <w:sz w:val="28"/>
          <w:szCs w:val="28"/>
          <w:highlight w:val="yellow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全市金融机构（含外资）本外币存款余额为43046.26亿元，比上年同期增长6.0%。其中，非金融企业存款13689.89亿元，住户存款20334.13亿元。年末全市金融机构（含外资）本外币贷款余额为52625.00亿元，增长5.2%。其中，消费贷款9577.31亿元；非金融企业及机关团体贷款40144.31亿元，增长8.2%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年末总部设在武汉的金融机构34家。境内上市公司82家，比上年增加1家。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全年实现保险保费收入1069.56亿元，比上年增长1.4%。其中，财产险保费收入204.86亿元，下降1.6%；人身险保费收入864.70亿元，增长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%。全年各类保险赔付支出447.71亿元，增长2.8%。其中，财产险赔付134.32亿元，下降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%；人身险赔付313.39亿元，增长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.6%。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八、交通运输和邮电通信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社会物流总额5.45万亿元，比上年增长6.4%。全年完成货物运输量78820.89万吨，增长2.0%；货物周转量3157.98亿吨公里，下降3.8%。全市民用航空航线238条，其中，国际航线22条，国内航线216条。中欧（武汉）国际班列到达国家40个；到达城市121个，比上年增加2个。中欧班列开行数量1168列，比上年增加160列，增长15.9%。</w:t>
      </w:r>
    </w:p>
    <w:p>
      <w:pPr>
        <w:shd w:val="clear" w:color="auto" w:fill="FFFFFF"/>
        <w:suppressAutoHyphens/>
        <w:overflowPunct w:val="0"/>
        <w:snapToGrid w:val="0"/>
        <w:spacing w:before="173" w:beforeLines="30"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表3　2025年各种运输方式完成货物运输量及其增长速度</w:t>
      </w:r>
      <w:r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2"/>
        <w:tblW w:w="6932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23"/>
        <w:gridCol w:w="1718"/>
        <w:gridCol w:w="1655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36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400" w:lineRule="exact"/>
              <w:jc w:val="center"/>
              <w:textAlignment w:val="center"/>
              <w:rPr>
                <w:rFonts w:eastAsia="方正黑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23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400" w:lineRule="exact"/>
              <w:jc w:val="center"/>
              <w:textAlignment w:val="center"/>
              <w:rPr>
                <w:rFonts w:eastAsia="方正黑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718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400" w:lineRule="exact"/>
              <w:jc w:val="center"/>
              <w:textAlignment w:val="center"/>
              <w:rPr>
                <w:rFonts w:eastAsia="方正黑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1655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400" w:lineRule="exact"/>
              <w:jc w:val="center"/>
              <w:textAlignment w:val="center"/>
              <w:rPr>
                <w:rFonts w:eastAsia="方正黑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增幅（%）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货物运输量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78820.89 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2.0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铁路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1179.31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30.1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  水运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17768.30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-3.5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航空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10.93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9.1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公路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59862.35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3.3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货物周转量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亿吨公里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3157.98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-3.8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铁路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亿吨公里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128.59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0.5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  水运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亿吨公里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2223.04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-6.9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航空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亿吨公里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2.01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8.7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公路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亿吨公里</w:t>
            </w: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804.34 </w:t>
            </w:r>
          </w:p>
        </w:tc>
        <w:tc>
          <w:tcPr>
            <w:tcW w:w="1655" w:type="dxa"/>
            <w:tcBorders>
              <w:top w:val="nil"/>
              <w:left w:val="single" w:color="auto" w:sz="4" w:space="0"/>
              <w:bottom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0" w:line="56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5.1 </w:t>
            </w:r>
          </w:p>
        </w:tc>
      </w:tr>
    </w:tbl>
    <w:p>
      <w:pPr>
        <w:shd w:val="clear" w:color="auto" w:fill="FFFFFF"/>
        <w:overflowPunct w:val="0"/>
        <w:spacing w:after="0" w:line="580" w:lineRule="exact"/>
        <w:ind w:firstLine="59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全年旅客运输量14485.15万人，比上年增长24.1%。旅客周转量451.49亿人公里，增长4.4%。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表4　2025年各种运输方式完成旅客运输量及其增长速度</w:t>
      </w:r>
      <w:r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2"/>
        <w:tblW w:w="7792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565"/>
        <w:gridCol w:w="1991"/>
        <w:gridCol w:w="210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136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40" w:lineRule="auto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565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40" w:lineRule="auto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991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40" w:lineRule="auto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2100" w:type="dxa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240" w:lineRule="auto"/>
              <w:jc w:val="center"/>
              <w:textAlignment w:val="center"/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简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增幅（%）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旅客运输量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14485.15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24.1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铁路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万人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8701.11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  水运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万人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135.22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3.7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航空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万人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1796.41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0.1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公路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万人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3852.41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186.3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旅客周转量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亿人公里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451.49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4.4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铁路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亿人公里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182.62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1.3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方正书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方正书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  水运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亿人公里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0.85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3.4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航空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亿人公里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245.88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4.1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6" w:type="dxa"/>
            <w:tcBorders>
              <w:top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　　公路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亿人公里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22.13 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after="160"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kern w:val="0"/>
                <w:sz w:val="24"/>
                <w:lang w:bidi="ar"/>
              </w:rPr>
              <w:t xml:space="preserve">45.9 </w:t>
            </w:r>
          </w:p>
        </w:tc>
      </w:tr>
    </w:tbl>
    <w:p>
      <w:pPr>
        <w:shd w:val="clear" w:color="auto" w:fill="FFFFFF"/>
        <w:overflowPunct w:val="0"/>
        <w:spacing w:after="0" w:line="556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年末全市民用汽车拥有量500.09万辆，比上年末增加22.82万辆，增长4.8%。其中私人小汽车433.40万辆，增加22.31万辆，增长5.4%。</w:t>
      </w:r>
    </w:p>
    <w:p>
      <w:pPr>
        <w:shd w:val="clear" w:color="auto" w:fill="FFFFFF"/>
        <w:overflowPunct w:val="0"/>
        <w:spacing w:after="0" w:line="556" w:lineRule="exact"/>
        <w:ind w:firstLine="592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年末轨道交通线路长578公里。全年地铁运营总里程518公里。轨道交通客运量14.43亿人次，占公共交通客运量比重为72.1%，占比较上年提高2.4个百分点。</w:t>
      </w:r>
    </w:p>
    <w:p>
      <w:pPr>
        <w:shd w:val="clear" w:color="auto" w:fill="FFFFFF"/>
        <w:overflowPunct w:val="0"/>
        <w:spacing w:after="0" w:line="576" w:lineRule="exact"/>
        <w:ind w:firstLine="592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完成邮政行业业务收入273.52亿元，比上年增长5.5%，其中快递业务收入221.42亿元，增长9.2%。全年完成快递业务总量29.95亿件，增长19.6%。全年完成电信业务总量202.23亿元，比上年增长10.3%。年末固定电话用户124.9万户；移动电话用户1915.1万户，其中5G用户1267.8万户，5G用户增长22.6%。年末固定宽带接入用户698.5万户，比上年末增长4.9%。</w:t>
      </w:r>
    </w:p>
    <w:p>
      <w:pPr>
        <w:shd w:val="clear" w:color="auto" w:fill="FFFFFF"/>
        <w:overflowPunct w:val="0"/>
        <w:spacing w:after="0" w:line="576" w:lineRule="exact"/>
        <w:ind w:firstLine="592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九、教育和科技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在校研究生22.53万人，比上年增长3.6%；本专科在校生121.87万人，增长2.1%；中等职业教育在校生7.14万人，下降6.2%；普通中学在校生53.69万人，增长10.0%；小学在校生85.02万人，增长1.9%；幼儿园在校生30.38万人，下降9.4%。</w:t>
      </w:r>
    </w:p>
    <w:p>
      <w:pPr>
        <w:shd w:val="clear" w:color="auto" w:fill="FFFFFF"/>
        <w:overflowPunct w:val="0"/>
        <w:spacing w:after="0" w:line="600" w:lineRule="exact"/>
        <w:ind w:firstLine="506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武汉地区共有科技研究机构97个，全国重点实验室41个，拥有中国科学院院士43人，中国工程院院士49人。全年技术合同认定登记49171项，增长6.7%；技术合同登记成交额2728亿元，增长4.6%。</w:t>
      </w:r>
    </w:p>
    <w:p>
      <w:pPr>
        <w:shd w:val="clear" w:color="auto" w:fill="FFFFFF"/>
        <w:overflowPunct w:val="0"/>
        <w:spacing w:after="0" w:line="600" w:lineRule="exact"/>
        <w:ind w:firstLine="506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年末全市高新技术企业超1.7万家。全年高新技术产业增加值7192.87亿元，占GDP比重为32.5%。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专利授权量61361件；发明专利授权量28801件；高价值发明专利有效量65836件。每万人口专利拥有量291.62件，增长4.4%；每万人口发明专利拥有量112.96件，增长16.3%；每万人口高价值发明专利有效量47.68件，增长17.5%。国际PCT申请量1153件。</w:t>
      </w:r>
    </w:p>
    <w:p>
      <w:pPr>
        <w:shd w:val="clear" w:color="auto" w:fill="FFFFFF"/>
        <w:suppressAutoHyphens/>
        <w:overflowPunct w:val="0"/>
        <w:snapToGrid w:val="0"/>
        <w:spacing w:after="0" w:line="278" w:lineRule="auto"/>
        <w:jc w:val="center"/>
        <w:rPr>
          <w:rFonts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图6　2021-2025年每万人口发明专利拥有量</w:t>
      </w:r>
    </w:p>
    <w:p>
      <w:pPr>
        <w:shd w:val="clear" w:color="auto" w:fill="FFFFFF"/>
        <w:overflowPunct w:val="0"/>
        <w:snapToGrid w:val="0"/>
        <w:spacing w:after="0" w:line="278" w:lineRule="auto"/>
        <w:jc w:val="center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572000" cy="2718435"/>
            <wp:effectExtent l="4445" t="4445" r="14605" b="20320"/>
            <wp:docPr id="14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十、文化、旅游、卫生和体育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市共有市直公共图书馆2个，藏书534.53万册，接待读者414.64万人次；市直博物馆11个，接待观众1042万人次；艺术表演团体机构8个，新排上演剧目15台；专业剧团获国家奖9个；市直艺术单位开展文化惠民活动1058场。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全市共有电影院192家；电影放映场次176万场；观影人数2453.1万人次。</w:t>
      </w:r>
    </w:p>
    <w:p>
      <w:pPr>
        <w:shd w:val="clear" w:color="auto" w:fill="FFFFFF"/>
        <w:overflowPunct w:val="0"/>
        <w:spacing w:after="0" w:line="60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年末A级旅游景区72个，比上年增加10个；其中，AAAAA级景区3个。旅游厕所491座，星级以上饭店41家。</w:t>
      </w:r>
    </w:p>
    <w:p>
      <w:pPr>
        <w:overflowPunct w:val="0"/>
        <w:spacing w:after="0" w:line="600" w:lineRule="exact"/>
        <w:ind w:firstLine="632" w:firstLineChars="20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年末共有卫生事业机构6725个，床位10.56万张。卫生技术人员14.45万人，比上年增长1.4%；其中医生5.41万人，护士6.97万人。年末共有三级医院84个，其中三甲医院31个。年末共有疾控中心19个，妇幼保健机构15个。</w:t>
      </w:r>
    </w:p>
    <w:p>
      <w:pPr>
        <w:overflowPunct w:val="0"/>
        <w:spacing w:after="0" w:line="580" w:lineRule="exact"/>
        <w:ind w:firstLine="63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全年举办国际国内赛事活动44场，比上年增加15场。体育重大比赛获金牌数24枚，比上年增加10枚，其中世界级比赛获金牌3枚，国家级比赛获金牌21枚。全年体育彩票销售额58.95亿元，比上年增长3.8%。</w:t>
      </w:r>
    </w:p>
    <w:p>
      <w:pPr>
        <w:shd w:val="clear" w:color="auto" w:fill="FFFFFF"/>
        <w:overflowPunct w:val="0"/>
        <w:spacing w:after="0" w:line="580" w:lineRule="exact"/>
        <w:ind w:firstLine="592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十一、居民生活和社会保障</w:t>
      </w:r>
    </w:p>
    <w:p>
      <w:pPr>
        <w:shd w:val="clear" w:color="auto" w:fill="FFFFFF"/>
        <w:overflowPunct w:val="0"/>
        <w:spacing w:after="0" w:line="580" w:lineRule="exact"/>
        <w:ind w:firstLine="592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全市居民人均可支配收入62530元，比上年增长4.7%。按常住地分，城镇居民人均可支配收入67248元，增长4.5%；农村居民人均可支配收入35575元，增长6.1%。全市居民人均消费支出40859元，比上年增长3.1%。按常住地分，城镇居民人均消费支出43233元，增长2.8%；农村居民人均消费支出27628元，增长5.0%。</w:t>
      </w:r>
    </w:p>
    <w:p>
      <w:pPr>
        <w:shd w:val="clear" w:color="auto" w:fill="FFFFFF"/>
        <w:suppressAutoHyphens/>
        <w:overflowPunct w:val="0"/>
        <w:snapToGrid w:val="0"/>
        <w:spacing w:before="173" w:beforeLines="30" w:after="0" w:line="278" w:lineRule="auto"/>
        <w:jc w:val="center"/>
        <w:rPr>
          <w:rFonts w:eastAsia="宋体" w:cs="Calibri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459740</wp:posOffset>
            </wp:positionV>
            <wp:extent cx="5162550" cy="3063240"/>
            <wp:effectExtent l="4445" t="4445" r="14605" b="18415"/>
            <wp:wrapTight wrapText="bothSides">
              <wp:wrapPolygon>
                <wp:start x="-19" y="-31"/>
                <wp:lineTo x="-19" y="21461"/>
                <wp:lineTo x="21581" y="21461"/>
                <wp:lineTo x="21581" y="-31"/>
                <wp:lineTo x="-19" y="-31"/>
              </wp:wrapPolygon>
            </wp:wrapTight>
            <wp:docPr id="1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eastAsia" w:ascii="方正小标宋简体" w:eastAsia="方正小标宋简体" w:cs="CESI黑体-GB13000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图7　2021-2025年常住居民人均可支配收入</w:t>
      </w:r>
    </w:p>
    <w:p>
      <w:pPr>
        <w:shd w:val="clear" w:color="auto" w:fill="FFFFFF"/>
        <w:overflowPunct w:val="0"/>
        <w:spacing w:after="0" w:line="578" w:lineRule="exact"/>
        <w:ind w:firstLine="59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年末参加城镇职工基本养老、职工基本医疗、失业、工伤和生育保险人数分别为762.17万人、643.45万人、351.48万人、466.97万人和402.31万人，分别比上年增长4.1%、5.5%、1.1%、0.6%和6.0%。</w:t>
      </w:r>
    </w:p>
    <w:p>
      <w:pPr>
        <w:shd w:val="clear" w:color="auto" w:fill="FFFFFF"/>
        <w:overflowPunct w:val="0"/>
        <w:spacing w:after="0" w:line="578" w:lineRule="exact"/>
        <w:ind w:firstLine="590"/>
        <w:rPr>
          <w:rFonts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拥有社会福利机构292个，床位46489张。全市城镇居民最低生活保障人数4.23万人，累计支出5.29亿元。全市农村居民最低生活保障人数5.48万人，累计支出5.84亿元。全年新改扩建社区养老服务设施3497个，比上年增长2.1%。</w:t>
      </w:r>
    </w:p>
    <w:p>
      <w:pPr>
        <w:shd w:val="clear" w:color="auto" w:fill="FFFFFF"/>
        <w:overflowPunct w:val="0"/>
        <w:spacing w:after="0" w:line="578" w:lineRule="exact"/>
        <w:ind w:firstLine="590"/>
        <w:rPr>
          <w:rFonts w:eastAsia="方正黑体简体" w:cs="CESI黑体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 w:cs="CESI黑体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十二、公用事业和资源环境</w:t>
      </w:r>
    </w:p>
    <w:p>
      <w:pPr>
        <w:shd w:val="clear" w:color="auto" w:fill="FFFFFF"/>
        <w:overflowPunct w:val="0"/>
        <w:spacing w:after="0" w:line="578" w:lineRule="exact"/>
        <w:ind w:firstLine="590"/>
        <w:rPr>
          <w:rFonts w:cs="CESI仿宋-GB13000"/>
          <w:color w:val="000000" w:themeColor="text1"/>
          <w:kern w:val="0"/>
          <w:szCs w:val="32"/>
          <w:highlight w:val="yellow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全年液化石油气供气总量15.72万吨，其中家庭用量6.29万吨；天然气供气总量28.05亿立方米，其中家庭用量10.22亿立方米。全市排水管道长度1.7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万公里，比上年增长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ESI仿宋-GB1300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全年全社会用电量856.31亿千瓦时，比上年增长4.7%。其中，全行业用电679.35亿千瓦时，增长4.9%；城乡居民生活用电176.96亿千瓦时，增长3.6%。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全年完成海绵城市建设81平方公里。全市共有路灯49.8万盏，比上年新增0.5万盏。新建成微循环道路123条。全年公众食品安全满意率88.11%，提高0.13个百分点。新改扩建城区公共厕所161座。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全年环境空气细颗粒物（PM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vertAlign w:val="subscript"/>
          <w:lang w:bidi="ar"/>
          <w14:textFill>
            <w14:solidFill>
              <w14:schemeClr w14:val="tx1"/>
            </w14:solidFill>
          </w14:textFill>
        </w:rPr>
        <w:t>2.5</w:t>
      </w: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）年均浓度值35微克/立方米，比上年下降2.8%。城市生活垃圾无害化处理率100%。</w:t>
      </w:r>
    </w:p>
    <w:p>
      <w:pPr>
        <w:shd w:val="clear" w:color="auto" w:fill="FFFFFF"/>
        <w:overflowPunct w:val="0"/>
        <w:spacing w:after="0" w:line="600" w:lineRule="exact"/>
        <w:ind w:firstLine="590"/>
        <w:rPr>
          <w:rFonts w:ascii="方正黑体简体" w:eastAsia="方正黑体简体" w:cs="宋体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仿宋-GB13000"/>
          <w:color w:val="000000" w:themeColor="text1"/>
          <w:kern w:val="0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全市建成区绿地面积40886.01公顷，比上年增长1.4%。人均公园绿地面积15.06平方米，建成区绿化覆盖率为43.19%。全年新增绿地503万平方米，新建绿道83.62公里。公园总数190个，公园游人量1.08亿人次。</w:t>
      </w:r>
      <w:r>
        <w:rPr>
          <w:rFonts w:ascii="方正黑体简体" w:eastAsia="方正黑体简体" w:cs="宋体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ascii="方正黑体简体" w:eastAsia="方正黑体简体" w:cs="Calibri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 w:cs="宋体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注释：</w:t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1.本公报2025年数据为统计快报数，最终核实数以当年《武汉统计年鉴》为准。</w:t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2.地区生产总值、各产业增加值绝对数按现价计算，增长速度按不变价格计算。</w:t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3.根据第五次全国经济普查结果，对地区生产总值、三次产业及相关行业增加值、社会消费品零售总额等指标的历史数据进行了修订。</w:t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4.电信业务总量按2024年不变单价计算。</w:t>
      </w: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5.部分数据因四舍五入的原因，存在总计与分项合计不等的情况。</w:t>
      </w:r>
    </w:p>
    <w:p>
      <w:pPr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/>
        <w:overflowPunct w:val="0"/>
        <w:snapToGrid w:val="0"/>
        <w:spacing w:after="0" w:line="410" w:lineRule="exact"/>
        <w:ind w:firstLine="552" w:firstLineChars="200"/>
        <w:rPr>
          <w:rFonts w:ascii="方正黑体简体" w:eastAsia="方正黑体简体" w:cs="宋体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 w:cs="宋体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资料来源：</w:t>
      </w:r>
    </w:p>
    <w:p>
      <w:pPr>
        <w:snapToGrid w:val="0"/>
        <w:spacing w:after="0" w:line="410" w:lineRule="exact"/>
        <w:ind w:firstLine="552" w:firstLineChars="200"/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18" w:bottom="1985" w:left="1588" w:header="851" w:footer="1418" w:gutter="0"/>
          <w:cols w:space="425" w:num="1"/>
          <w:docGrid w:type="linesAndChars" w:linePitch="579" w:charSpace="-849"/>
        </w:sectPr>
      </w:pP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公报中城镇新增就业、养老保险、工伤保险、失业保险等数据来自市人力资源和社会保障局；水产品数据来自市农业农村局；保障性住房、轨道交通、海绵城市建设等数据来自市住房和城市更新局；货物进出口数据来自武汉海关；外资数据来自市投资促进局；“一带一路”国家进出口、对外承包工程等数据来自市商务局；外国驻汉领事馆、国际友好城市等数据来自中共武汉市委外办；财政数据来自市财政局；金融存贷款数据来自中国人民银行湖北省分行；金融机构、上市公司等数据来自中共武汉市委金融办；保险数据来自国家金融监督管理总局湖北监管局；旅游、图书馆、博物馆、艺术表演团体等数据来自市文化和旅游局；电影数据来自中共武汉市委宣传部；运输量、周转量、民用航线、国际班列、邮政、快递等数据来自市交通运输局；户籍人口、民用汽车数量来自市公安局；电信业务总量、互联网用户等数据来自湖北省通信管理局；教育数据来自市教育局；卫生数据来自市卫健委；体育数据来自市体育局；低保、社会福利等数据来自市民政局；医疗保险、生育保险数据来自市医疗保障局；科技研究机构、技术合同成交额等数据来自市科创局；两院院士人数来自市科协；市场主体、专利数据、食品满意率等数据来自市市场监管局；石油气、天然气等数据来自市城管执法委；用电量来自市供电公司；排水管道长度</w:t>
      </w: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数据来自市水务局；</w:t>
      </w:r>
      <w:r>
        <w:rPr>
          <w:rFonts w:hint="eastAsia" w:cs="CESI楷体-GB13000" w:asciiTheme="minorEastAsia" w:hAnsiTheme="minorEastAsia" w:eastAsiaTheme="minorEastAsia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绿化、公园等数据来自市园林和林业局；生态环境数据来自市生态环境局；价格、粮食、畜禽、城乡居民收支等数据来自国家统计局武汉调查队；其他数据均来自市统计局。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spacing w:after="160" w:line="278" w:lineRule="auto"/>
      <w:ind w:left="320" w:leftChars="100" w:right="320" w:rightChars="100"/>
      <w:jc w:val="left"/>
      <w:rPr>
        <w:rStyle w:val="4"/>
        <w:rFonts w:hint="eastAsia"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</w:pPr>
    <w:r>
      <w:rPr>
        <w:rStyle w:val="4"/>
        <w:rFonts w:hint="eastAsia"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t xml:space="preserve">— </w:t>
    </w:r>
    <w:r>
      <w:rPr>
        <w:rStyle w:val="4"/>
        <w:rFonts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fldChar w:fldCharType="begin"/>
    </w:r>
    <w:r>
      <w:rPr>
        <w:rStyle w:val="4"/>
        <w:rFonts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instrText xml:space="preserve">PAGE  </w:instrText>
    </w:r>
    <w:r>
      <w:rPr>
        <w:rStyle w:val="4"/>
        <w:rFonts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fldChar w:fldCharType="separate"/>
    </w:r>
    <w:r>
      <w:rPr>
        <w:rStyle w:val="4"/>
        <w:rFonts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t>1</w:t>
    </w:r>
    <w:r>
      <w:rPr>
        <w:rStyle w:val="4"/>
        <w:rFonts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fldChar w:fldCharType="end"/>
    </w:r>
    <w:r>
      <w:rPr>
        <w:rStyle w:val="4"/>
        <w:rFonts w:hint="eastAsia" w:ascii="宋体" w:hAnsi="宋体" w:eastAsia="宋体" w:cs="Times New Roman"/>
        <w:color w:val="000000" w:themeColor="text1"/>
        <w:kern w:val="2"/>
        <w:sz w:val="28"/>
        <w:szCs w:val="28"/>
        <w:lang w:val="en-US" w:eastAsia="zh-CN" w:bidi="ar-SA"/>
        <w14:textFill>
          <w14:solidFill>
            <w14:schemeClr w14:val="tx1"/>
          </w14:solidFill>
        </w14:textFill>
      </w:rPr>
      <w:t xml:space="preserve"> —</w:t>
    </w:r>
  </w:p>
  <w:p>
    <w:pPr>
      <w:widowControl w:val="0"/>
      <w:snapToGrid w:val="0"/>
      <w:spacing w:after="160" w:line="278" w:lineRule="auto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F97AA"/>
    <w:rsid w:val="1B6F5D0D"/>
    <w:rsid w:val="34F71ACB"/>
    <w:rsid w:val="73AE3CCE"/>
    <w:rsid w:val="7A1790B5"/>
    <w:rsid w:val="BCFF97AA"/>
    <w:rsid w:val="BFEFDF59"/>
    <w:rsid w:val="D4D73722"/>
    <w:rsid w:val="EF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/home/whtj/Desktop/2025&#24180;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6.xml"/><Relationship Id="rId1" Type="http://schemas.openxmlformats.org/officeDocument/2006/relationships/oleObject" Target="/home/whtj/Desktop/2025&#24180;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E:\QQ&#23384;&#20648;&#25991;&#20214;\2025&#24180;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/media/whtj/70A24803A247CBF2/2026&#24180;&#24037;&#20316;/2025&#24180;&#32479;&#35745;&#20844;&#25253;/2025&#24180;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6.xml"/><Relationship Id="rId3" Type="http://schemas.microsoft.com/office/2011/relationships/chartStyle" Target="style6.xml"/><Relationship Id="rId2" Type="http://schemas.openxmlformats.org/officeDocument/2006/relationships/themeOverride" Target="../theme/themeOverride7.xml"/><Relationship Id="rId1" Type="http://schemas.openxmlformats.org/officeDocument/2006/relationships/oleObject" Target="/media/whtj/70A24803A247CBF2/2026&#24180;&#24037;&#20316;/2025&#24180;&#32479;&#35745;&#20844;&#25253;/2025&#24180;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/media/whtj/70A24803A247CBF2/2026&#24180;&#24037;&#20316;/2025&#24180;&#32479;&#35745;&#20844;&#25253;/2025&#24180;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/media/whtj/70A24803A247CBF2/2026&#24180;&#24037;&#20316;/2025&#24180;&#32479;&#35745;&#20844;&#25253;/2025&#24180;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true"/>
    <c:plotArea>
      <c:layout>
        <c:manualLayout>
          <c:layoutTarget val="inner"/>
          <c:xMode val="edge"/>
          <c:yMode val="edge"/>
          <c:x val="0.122496838717094"/>
          <c:y val="0.133064516129032"/>
          <c:w val="0.780181630072422"/>
          <c:h val="0.628306451612903"/>
        </c:manualLayout>
      </c:layout>
      <c:barChart>
        <c:barDir val="col"/>
        <c:grouping val="clustered"/>
        <c:varyColors val="false"/>
        <c:ser>
          <c:idx val="0"/>
          <c:order val="0"/>
          <c:tx>
            <c:strRef>
              <c:f>[2025年公报图表.xlsx]地区生产总值!$B$21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dLbl>
              <c:idx val="0"/>
              <c:layout>
                <c:manualLayout>
                  <c:x val="-0.0205488194001276"/>
                  <c:y val="0.0126282557221784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[2025年公报图表.xlsx]地区生产总值!$A$22:$A$26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[2025年公报图表.xlsx]地区生产总值!$B$22:$B$26</c:f>
              <c:numCache>
                <c:formatCode>0.00_ </c:formatCode>
                <c:ptCount val="5"/>
                <c:pt idx="0">
                  <c:v>17746.1829287764</c:v>
                </c:pt>
                <c:pt idx="1">
                  <c:v>19024.8612931579</c:v>
                </c:pt>
                <c:pt idx="2">
                  <c:v>20202.8679197339</c:v>
                </c:pt>
                <c:pt idx="3">
                  <c:v>21106.23</c:v>
                </c:pt>
                <c:pt idx="4">
                  <c:v>22147.35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50"/>
        <c:axId val="820235883"/>
        <c:axId val="621273885"/>
      </c:barChart>
      <c:lineChart>
        <c:grouping val="standard"/>
        <c:varyColors val="false"/>
        <c:ser>
          <c:idx val="2"/>
          <c:order val="1"/>
          <c:tx>
            <c:strRef>
              <c:f>[2025年公报图表.xlsx]地区生产总值!$C$21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ED7D3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545303157998138"/>
                  <c:y val="-0.0425464536760154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85699432873966"/>
                  <c:y val="0.0292462701116101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43841490443181"/>
                  <c:y val="-0.0619046266848403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37155489477074"/>
                  <c:y val="-0.0395644585746524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49060804229859"/>
                  <c:y val="-0.043896713615023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[2025年公报图表.xlsx]地区生产总值!$A$22:$A$26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[2025年公报图表.xlsx]地区生产总值!$C$22:$C$26</c:f>
              <c:numCache>
                <c:formatCode>0.0_ </c:formatCode>
                <c:ptCount val="5"/>
                <c:pt idx="0">
                  <c:v>11.1714996277574</c:v>
                </c:pt>
                <c:pt idx="1">
                  <c:v>3.79090681320744</c:v>
                </c:pt>
                <c:pt idx="2">
                  <c:v>5.55492496201886</c:v>
                </c:pt>
                <c:pt idx="3">
                  <c:v>5.2</c:v>
                </c:pt>
                <c:pt idx="4">
                  <c:v>5.6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false"/>
        <c:smooth val="false"/>
        <c:axId val="671765046"/>
        <c:axId val="847795734"/>
      </c:lineChart>
      <c:catAx>
        <c:axId val="820235883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621273885"/>
        <c:crosses val="autoZero"/>
        <c:auto val="true"/>
        <c:lblAlgn val="ctr"/>
        <c:lblOffset val="100"/>
        <c:noMultiLvlLbl val="false"/>
      </c:catAx>
      <c:valAx>
        <c:axId val="621273885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  <a:r>
                  <a:rPr lang="zh-CN" sz="1000"/>
                  <a:t>（亿元）</a:t>
                </a:r>
                <a:endParaRPr lang="zh-CN" sz="1000"/>
              </a:p>
            </c:rich>
          </c:tx>
          <c:layout>
            <c:manualLayout>
              <c:xMode val="edge"/>
              <c:yMode val="edge"/>
              <c:x val="0.0105934907466496"/>
              <c:y val="0.0160811989204874"/>
            </c:manualLayout>
          </c:layout>
          <c:overlay val="false"/>
          <c:spPr>
            <a:noFill/>
            <a:ln>
              <a:noFill/>
            </a:ln>
            <a:effectLst/>
          </c:spPr>
        </c:title>
        <c:numFmt formatCode="0.0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820235883"/>
        <c:crosses val="autoZero"/>
        <c:crossBetween val="between"/>
      </c:valAx>
      <c:catAx>
        <c:axId val="671765046"/>
        <c:scaling>
          <c:orientation val="minMax"/>
        </c:scaling>
        <c:delete val="true"/>
        <c:axPos val="b"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847795734"/>
        <c:crosses val="autoZero"/>
        <c:auto val="true"/>
        <c:lblAlgn val="ctr"/>
        <c:lblOffset val="100"/>
        <c:noMultiLvlLbl val="false"/>
      </c:catAx>
      <c:valAx>
        <c:axId val="847795734"/>
        <c:scaling>
          <c:orientation val="minMax"/>
          <c:max val="15"/>
          <c:min val="-10"/>
        </c:scaling>
        <c:delete val="false"/>
        <c:axPos val="r"/>
        <c:title>
          <c:tx>
            <c:rich>
              <a:bodyPr rot="0" spcFirstLastPara="1" vertOverflow="ellipsis" vert="horz" wrap="square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  <a:r>
                  <a:rPr lang="zh-CN"/>
                  <a:t>（</a:t>
                </a:r>
                <a:r>
                  <a:rPr lang="en-US"/>
                  <a:t>%</a:t>
                </a:r>
                <a:r>
                  <a:rPr lang="zh-CN"/>
                  <a:t>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932354818123803"/>
              <c:y val="0.0275255556687115"/>
            </c:manualLayout>
          </c:layout>
          <c:overlay val="false"/>
          <c:spPr>
            <a:noFill/>
            <a:ln>
              <a:noFill/>
            </a:ln>
            <a:effectLst/>
          </c:spPr>
        </c:title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671765046"/>
        <c:crosses val="max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1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Times New Roman" charset="0"/>
              <a:ea typeface="+mn-ea"/>
              <a:cs typeface="Times New Roman" charset="0"/>
            </a:defRPr>
          </a:pPr>
        </a:p>
      </c:txPr>
    </c:legend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  <a:r>
              <a:rPr lang="zh-CN" sz="1000" b="0"/>
              <a:t>（</a:t>
            </a:r>
            <a:r>
              <a:rPr lang="en-US" sz="1000" b="0"/>
              <a:t>%</a:t>
            </a:r>
            <a:r>
              <a:rPr lang="zh-CN" sz="1000" b="0"/>
              <a:t>）</a:t>
            </a:r>
            <a:endParaRPr lang="zh-CN" sz="1000" b="0"/>
          </a:p>
        </c:rich>
      </c:tx>
      <c:layout>
        <c:manualLayout>
          <c:xMode val="edge"/>
          <c:yMode val="edge"/>
          <c:x val="0.0185505219985085"/>
          <c:y val="0.0375616370808678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stacked"/>
        <c:varyColors val="false"/>
        <c:ser>
          <c:idx val="0"/>
          <c:order val="0"/>
          <c:tx>
            <c:strRef>
              <c:f>[2025年公报图表.xlsx]三次产业!$A$3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</c:spPr>
          <c:invertIfNegative val="false"/>
          <c:dLbls>
            <c:dLbl>
              <c:idx val="0"/>
              <c:layout>
                <c:manualLayout>
                  <c:x val="0.00220952110790752"/>
                  <c:y val="-0.00423509917637308"/>
                </c:manualLayout>
              </c:layout>
              <c:dLblPos val="ct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charset="0"/>
                        <a:ea typeface="+mn-ea"/>
                        <a:cs typeface="Times New Roman" charset="0"/>
                      </a:defRPr>
                    </a:pPr>
                    <a:r>
                      <a:rPr lang="en-US" altLang="zh-CN"/>
                      <a:t>2.4</a:t>
                    </a:r>
                    <a:endParaRPr lang="en-US" altLang="zh-CN"/>
                  </a:p>
                </c:rich>
              </c:tx>
              <c:dLblPos val="ct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[2025年公报图表.xlsx]三次产业!$B$2:$F$2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[2025年公报图表.xlsx]三次产业!$B$3:$F$3</c:f>
              <c:numCache>
                <c:formatCode>0.0_ </c:formatCode>
                <c:ptCount val="5"/>
                <c:pt idx="0">
                  <c:v>2.48752125809611</c:v>
                </c:pt>
                <c:pt idx="1">
                  <c:v>2.49205513207456</c:v>
                </c:pt>
                <c:pt idx="2">
                  <c:v>2.3454093403561</c:v>
                </c:pt>
                <c:pt idx="3">
                  <c:v>2.4</c:v>
                </c:pt>
                <c:pt idx="4">
                  <c:v>2.2</c:v>
                </c:pt>
              </c:numCache>
            </c:numRef>
          </c:val>
        </c:ser>
        <c:ser>
          <c:idx val="1"/>
          <c:order val="1"/>
          <c:tx>
            <c:strRef>
              <c:f>[2025年公报图表.xlsx]三次产业!$A$4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false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true"/>
                  <a:lstStyle/>
                  <a:p>
                    <a:pPr>
                      <a:defRPr lang="zh-CN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charset="0"/>
                        <a:ea typeface="+mn-ea"/>
                        <a:cs typeface="Times New Roman" charset="0"/>
                      </a:defRPr>
                    </a:pPr>
                    <a:r>
                      <a:rPr lang="en-US" altLang="zh-CN"/>
                      <a:t>33.5</a:t>
                    </a:r>
                    <a:endParaRPr lang="en-US" altLang="zh-CN"/>
                  </a:p>
                </c:rich>
              </c:tx>
              <c:dLblPos val="ct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[2025年公报图表.xlsx]三次产业!$B$2:$F$2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[2025年公报图表.xlsx]三次产业!$B$4:$F$4</c:f>
              <c:numCache>
                <c:formatCode>0.0_ </c:formatCode>
                <c:ptCount val="5"/>
                <c:pt idx="0">
                  <c:v>33.5506570991616</c:v>
                </c:pt>
                <c:pt idx="1">
                  <c:v>32.1407884210449</c:v>
                </c:pt>
                <c:pt idx="2">
                  <c:v>32.3400586154343</c:v>
                </c:pt>
                <c:pt idx="3">
                  <c:v>31.2</c:v>
                </c:pt>
                <c:pt idx="4">
                  <c:v>29.7</c:v>
                </c:pt>
              </c:numCache>
            </c:numRef>
          </c:val>
        </c:ser>
        <c:ser>
          <c:idx val="2"/>
          <c:order val="2"/>
          <c:tx>
            <c:strRef>
              <c:f>[2025年公报图表.xlsx]三次产业!$A$5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rgbClr val="5B9BD5"/>
            </a:solidFill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/>
              </c:ext>
            </c:extLst>
          </c:dLbls>
          <c:cat>
            <c:strRef>
              <c:f>[2025年公报图表.xlsx]三次产业!$B$2:$F$2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[2025年公报图表.xlsx]三次产业!$B$5:$F$5</c:f>
              <c:numCache>
                <c:formatCode>0.0_ </c:formatCode>
                <c:ptCount val="5"/>
                <c:pt idx="0">
                  <c:v>63.9618216427423</c:v>
                </c:pt>
                <c:pt idx="1">
                  <c:v>65.3672090096852</c:v>
                </c:pt>
                <c:pt idx="2">
                  <c:v>65.3145320442096</c:v>
                </c:pt>
                <c:pt idx="3">
                  <c:v>66.4</c:v>
                </c:pt>
                <c:pt idx="4">
                  <c:v>68.1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overlap val="100"/>
        <c:axId val="652767453"/>
        <c:axId val="251587087"/>
      </c:barChart>
      <c:catAx>
        <c:axId val="652767453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251587087"/>
        <c:crosses val="autoZero"/>
        <c:auto val="true"/>
        <c:lblAlgn val="ctr"/>
        <c:lblOffset val="100"/>
        <c:noMultiLvlLbl val="false"/>
      </c:catAx>
      <c:valAx>
        <c:axId val="251587087"/>
        <c:scaling>
          <c:orientation val="minMax"/>
          <c:max val="100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prstDash val="solid"/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65276745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Times New Roman" charset="0"/>
            </a:defRPr>
          </a:pPr>
        </a:p>
      </c:txPr>
    </c:legend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prstDash val="solid"/>
      <a:round/>
    </a:ln>
    <a:effectLst/>
  </c:spPr>
  <c:txPr>
    <a:bodyPr wrap="square"/>
    <a:lstStyle/>
    <a:p>
      <a:pPr>
        <a:defRPr lang="zh-CN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/>
              <a:t>（亿元）</a:t>
            </a:r>
            <a:endParaRPr lang="zh-CN" altLang="en-US" sz="1200"/>
          </a:p>
        </c:rich>
      </c:tx>
      <c:layout>
        <c:manualLayout>
          <c:xMode val="edge"/>
          <c:yMode val="edge"/>
          <c:x val="0.0268404490927347"/>
          <c:y val="0.00137470201545908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60999457130092"/>
          <c:y val="0.127637795275591"/>
          <c:w val="0.761003492623215"/>
          <c:h val="0.703821933847532"/>
        </c:manualLayout>
      </c:layout>
      <c:barChart>
        <c:barDir val="col"/>
        <c:grouping val="clustered"/>
        <c:varyColors val="false"/>
        <c:ser>
          <c:idx val="0"/>
          <c:order val="0"/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numFmt formatCode="0.00_);[Red]\(0.00\)" sourceLinked="false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Sheet1!$A$7:$A$11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Sheet1!$B$7:$B$11</c:f>
              <c:numCache>
                <c:formatCode>0.00_ </c:formatCode>
                <c:ptCount val="5"/>
                <c:pt idx="0">
                  <c:v>7188.2609</c:v>
                </c:pt>
                <c:pt idx="1">
                  <c:v>7443.1476</c:v>
                </c:pt>
                <c:pt idx="2">
                  <c:v>8198.3014</c:v>
                </c:pt>
                <c:pt idx="3">
                  <c:v>8629.2967</c:v>
                </c:pt>
                <c:pt idx="4" c:formatCode="General">
                  <c:v>9013.96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966059794"/>
        <c:axId val="165928049"/>
      </c:barChart>
      <c:catAx>
        <c:axId val="966059794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19050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2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165928049"/>
        <c:crosses val="autoZero"/>
        <c:auto val="true"/>
        <c:lblAlgn val="ctr"/>
        <c:lblOffset val="100"/>
        <c:noMultiLvlLbl val="false"/>
      </c:catAx>
      <c:valAx>
        <c:axId val="165928049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0.0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2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966059794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noFill/>
    <a:ln w="9525" cap="flat" cmpd="sng" algn="ctr">
      <a:solidFill>
        <a:sysClr val="window" lastClr="FFFFFF">
          <a:lumMod val="7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  <a:r>
              <a:rPr lang="zh-CN" sz="1000"/>
              <a:t>（亿元）</a:t>
            </a:r>
            <a:endParaRPr lang="zh-CN" sz="1000"/>
          </a:p>
        </c:rich>
      </c:tx>
      <c:layout>
        <c:manualLayout>
          <c:xMode val="edge"/>
          <c:yMode val="edge"/>
          <c:x val="0.0225959434687481"/>
          <c:y val="0.00698812019566737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10111761575306"/>
          <c:y val="0.105986489634288"/>
          <c:w val="0.862346993081426"/>
          <c:h val="0.71148381085488"/>
        </c:manualLayout>
      </c:layout>
      <c:barChart>
        <c:barDir val="col"/>
        <c:grouping val="stacked"/>
        <c:varyColors val="false"/>
        <c:ser>
          <c:idx val="0"/>
          <c:order val="0"/>
          <c:tx>
            <c:strRef>
              <c:f>[2025年公报图表.xlsx]Sheet1!$B$52</c:f>
              <c:strCache>
                <c:ptCount val="1"/>
                <c:pt idx="0">
                  <c:v>进口总额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[2025年公报图表.xlsx]Sheet1!$A$53:$A$57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[2025年公报图表.xlsx]Sheet1!$B$53:$B$57</c:f>
              <c:numCache>
                <c:formatCode>0.0_ </c:formatCode>
                <c:ptCount val="5"/>
                <c:pt idx="0">
                  <c:v>1430.4</c:v>
                </c:pt>
                <c:pt idx="1">
                  <c:v>1379.2</c:v>
                </c:pt>
                <c:pt idx="2">
                  <c:v>1438.9</c:v>
                </c:pt>
                <c:pt idx="3">
                  <c:v>1410.9</c:v>
                </c:pt>
                <c:pt idx="4">
                  <c:v>1580</c:v>
                </c:pt>
              </c:numCache>
            </c:numRef>
          </c:val>
        </c:ser>
        <c:ser>
          <c:idx val="1"/>
          <c:order val="1"/>
          <c:tx>
            <c:strRef>
              <c:f>[2025年公报图表.xlsx]Sheet1!$C$52</c:f>
              <c:strCache>
                <c:ptCount val="1"/>
                <c:pt idx="0">
                  <c:v>出口总额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false"/>
          <c:dLbls>
            <c:numFmt formatCode="0.0_);[Red]\(0.0\)" sourceLinked="false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ct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[2025年公报图表.xlsx]Sheet1!$A$53:$A$57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[2025年公报图表.xlsx]Sheet1!$C$53:$C$57</c:f>
              <c:numCache>
                <c:formatCode>0.0_ </c:formatCode>
                <c:ptCount val="5"/>
                <c:pt idx="0">
                  <c:v>1929</c:v>
                </c:pt>
                <c:pt idx="1">
                  <c:v>2153</c:v>
                </c:pt>
                <c:pt idx="2">
                  <c:v>2167.3</c:v>
                </c:pt>
                <c:pt idx="3">
                  <c:v>2622.6</c:v>
                </c:pt>
                <c:pt idx="4">
                  <c:v>2968.5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150"/>
        <c:overlap val="100"/>
        <c:axId val="27196031"/>
        <c:axId val="212347784"/>
      </c:barChart>
      <c:catAx>
        <c:axId val="27196031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1270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212347784"/>
        <c:crosses val="autoZero"/>
        <c:auto val="true"/>
        <c:lblAlgn val="ctr"/>
        <c:lblOffset val="100"/>
        <c:noMultiLvlLbl val="false"/>
      </c:catAx>
      <c:valAx>
        <c:axId val="212347784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27196031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</c:legendEntry>
      <c:layout>
        <c:manualLayout>
          <c:xMode val="edge"/>
          <c:yMode val="edge"/>
          <c:x val="0.340465653180874"/>
          <c:y val="0.920931376237024"/>
          <c:w val="0.319068484139363"/>
          <c:h val="0.0790686237629758"/>
        </c:manualLayout>
      </c:layout>
      <c:overlay val="false"/>
      <c:spPr>
        <a:noFill/>
        <a:ln>
          <a:noFill/>
        </a:ln>
        <a:effectLst/>
      </c:spPr>
      <c:txPr>
        <a:bodyPr rot="0" spcFirstLastPara="1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Times New Roman" charset="0"/>
              <a:ea typeface="+mn-ea"/>
              <a:cs typeface="Times New Roman" charset="0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true"/>
    <c:plotArea>
      <c:layout>
        <c:manualLayout>
          <c:layoutTarget val="inner"/>
          <c:xMode val="edge"/>
          <c:yMode val="edge"/>
          <c:x val="0.151287887863903"/>
          <c:y val="0.162448228255867"/>
          <c:w val="0.84511800646939"/>
          <c:h val="0.713575701794754"/>
        </c:manualLayout>
      </c:layout>
      <c:barChart>
        <c:barDir val="col"/>
        <c:grouping val="clustered"/>
        <c:varyColors val="false"/>
        <c:ser>
          <c:idx val="0"/>
          <c:order val="0"/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[2025年公报图表.xlsx]Sheet1!$A$66:$A$70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[2025年公报图表.xlsx]Sheet1!$B$66:$B$70</c:f>
              <c:numCache>
                <c:formatCode>0.00_ </c:formatCode>
                <c:ptCount val="5"/>
                <c:pt idx="0">
                  <c:v>1578.65</c:v>
                </c:pt>
                <c:pt idx="1">
                  <c:v>1504.74</c:v>
                </c:pt>
                <c:pt idx="2">
                  <c:v>1601.2</c:v>
                </c:pt>
                <c:pt idx="3">
                  <c:v>1667.31</c:v>
                </c:pt>
                <c:pt idx="4" c:formatCode="General">
                  <c:v>1743.06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184870912"/>
        <c:axId val="109605834"/>
      </c:barChart>
      <c:catAx>
        <c:axId val="184870912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109605834"/>
        <c:crosses val="autoZero"/>
        <c:auto val="true"/>
        <c:lblAlgn val="ctr"/>
        <c:lblOffset val="100"/>
        <c:noMultiLvlLbl val="false"/>
      </c:catAx>
      <c:valAx>
        <c:axId val="109605834"/>
        <c:scaling>
          <c:orientation val="minMax"/>
          <c:min val="1000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  <a:r>
                  <a:rPr lang="zh-CN"/>
                  <a:t>（亿元）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0487961322866597"/>
              <c:y val="0.045304636920385"/>
            </c:manualLayout>
          </c:layout>
          <c:overlay val="false"/>
          <c:spPr>
            <a:noFill/>
            <a:ln>
              <a:noFill/>
            </a:ln>
            <a:effectLst/>
          </c:spPr>
        </c:title>
        <c:numFmt formatCode="0.0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184870912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 sz="1000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true"/>
    <c:plotArea>
      <c:layout>
        <c:manualLayout>
          <c:layoutTarget val="inner"/>
          <c:xMode val="edge"/>
          <c:yMode val="edge"/>
          <c:x val="0.153154156802674"/>
          <c:y val="0.131724969843185"/>
          <c:w val="0.835983846260966"/>
          <c:h val="0.738287092882992"/>
        </c:manualLayout>
      </c:layout>
      <c:barChart>
        <c:barDir val="col"/>
        <c:grouping val="clustered"/>
        <c:varyColors val="false"/>
        <c:ser>
          <c:idx val="0"/>
          <c:order val="0"/>
          <c:tx>
            <c:strRef>
              <c:f>[2025年公报图表.xlsx]Sheet1!$B$147</c:f>
              <c:strCache>
                <c:ptCount val="1"/>
                <c:pt idx="0">
                  <c:v>每万人口发明专利拥有量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[2025年公报图表.xlsx]Sheet1!$A$148:$A$152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[2025年公报图表.xlsx]Sheet1!$B$148:$B$152</c:f>
              <c:numCache>
                <c:formatCode>0.00_ </c:formatCode>
                <c:ptCount val="5"/>
                <c:pt idx="0">
                  <c:v>60.2</c:v>
                </c:pt>
                <c:pt idx="1">
                  <c:v>69.19</c:v>
                </c:pt>
                <c:pt idx="2">
                  <c:v>84.25</c:v>
                </c:pt>
                <c:pt idx="3">
                  <c:v>97.13</c:v>
                </c:pt>
                <c:pt idx="4">
                  <c:v>112.96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131792807"/>
        <c:axId val="706989693"/>
      </c:barChart>
      <c:catAx>
        <c:axId val="131792807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706989693"/>
        <c:crosses val="autoZero"/>
        <c:auto val="true"/>
        <c:lblAlgn val="ctr"/>
        <c:lblOffset val="100"/>
        <c:noMultiLvlLbl val="false"/>
      </c:catAx>
      <c:valAx>
        <c:axId val="70698969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  <a:r>
                  <a:rPr lang="zh-CN"/>
                  <a:t>（件）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0555632920206099"/>
              <c:y val="0.0209167671893848"/>
            </c:manualLayout>
          </c:layout>
          <c:overlay val="false"/>
          <c:spPr>
            <a:noFill/>
            <a:ln>
              <a:noFill/>
            </a:ln>
            <a:effectLst/>
          </c:spPr>
        </c:title>
        <c:numFmt formatCode="0.0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131792807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  <a:r>
              <a:rPr lang="zh-CN" sz="1000"/>
              <a:t>（元）</a:t>
            </a:r>
            <a:endParaRPr lang="zh-CN" sz="1000"/>
          </a:p>
        </c:rich>
      </c:tx>
      <c:layout>
        <c:manualLayout>
          <c:xMode val="edge"/>
          <c:yMode val="edge"/>
          <c:x val="0.0265087989462572"/>
          <c:y val="0.045138794736750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tx>
            <c:strRef>
              <c:f>[2025年公报图表.xlsx]Sheet1!$B$106</c:f>
              <c:strCache>
                <c:ptCount val="1"/>
                <c:pt idx="0">
                  <c:v>城镇居民人均可支配收入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[2025年公报图表.xlsx]Sheet1!$A$107:$A$111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[2025年公报图表.xlsx]Sheet1!$B$107:$B$111</c:f>
              <c:numCache>
                <c:formatCode>General</c:formatCode>
                <c:ptCount val="5"/>
                <c:pt idx="0">
                  <c:v>55297</c:v>
                </c:pt>
                <c:pt idx="1">
                  <c:v>58449</c:v>
                </c:pt>
                <c:pt idx="2">
                  <c:v>61693</c:v>
                </c:pt>
                <c:pt idx="3">
                  <c:v>64346</c:v>
                </c:pt>
                <c:pt idx="4">
                  <c:v>67248</c:v>
                </c:pt>
              </c:numCache>
            </c:numRef>
          </c:val>
        </c:ser>
        <c:ser>
          <c:idx val="1"/>
          <c:order val="1"/>
          <c:tx>
            <c:strRef>
              <c:f>[2025年公报图表.xlsx]Sheet1!$C$106</c:f>
              <c:strCache>
                <c:ptCount val="1"/>
                <c:pt idx="0">
                  <c:v>农村居民人均可支配收入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false"/>
          <c:dLbls>
            <c:dLbl>
              <c:idx val="0"/>
              <c:layout>
                <c:manualLayout>
                  <c:x val="0.0166431309259633"/>
                  <c:y val="-0.00258397932816537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05910833165221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0260238047206"/>
                  <c:y val="0.00258397932816537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7212023401251"/>
                  <c:y val="0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42081904377648"/>
                  <c:y val="-0.00258397932816537"/>
                </c:manualLayout>
              </c:layout>
              <c:dLblPos val="outEnd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Times New Roman" charset="0"/>
                    <a:ea typeface="+mn-ea"/>
                    <a:cs typeface="Times New Roman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[2025年公报图表.xlsx]Sheet1!$A$107:$A$111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[2025年公报图表.xlsx]Sheet1!$C$107:$C$111</c:f>
              <c:numCache>
                <c:formatCode>General</c:formatCode>
                <c:ptCount val="5"/>
                <c:pt idx="0">
                  <c:v>27209</c:v>
                </c:pt>
                <c:pt idx="1">
                  <c:v>29304</c:v>
                </c:pt>
                <c:pt idx="2">
                  <c:v>31560</c:v>
                </c:pt>
                <c:pt idx="3">
                  <c:v>33529</c:v>
                </c:pt>
                <c:pt idx="4">
                  <c:v>35575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190194595"/>
        <c:axId val="294668775"/>
      </c:barChart>
      <c:catAx>
        <c:axId val="190194595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1905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294668775"/>
        <c:crosses val="autoZero"/>
        <c:auto val="true"/>
        <c:lblAlgn val="ctr"/>
        <c:lblOffset val="100"/>
        <c:noMultiLvlLbl val="false"/>
      </c:catAx>
      <c:valAx>
        <c:axId val="294668775"/>
        <c:scaling>
          <c:orientation val="minMax"/>
          <c:max val="70000"/>
          <c:min val="0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charset="0"/>
                <a:ea typeface="+mn-ea"/>
                <a:cs typeface="Times New Roman" charset="0"/>
              </a:defRPr>
            </a:pPr>
          </a:p>
        </c:txPr>
        <c:crossAx val="1901945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Times New Roman" charset="0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Times New Roman" charset="0"/>
              </a:defRPr>
            </a:pPr>
          </a:p>
        </c:txPr>
      </c:legendEntry>
      <c:layout/>
      <c:overlay val="false"/>
      <c:spPr>
        <a:noFill/>
        <a:ln>
          <a:noFill/>
        </a:ln>
        <a:effectLst/>
      </c:spPr>
      <c:txPr>
        <a:bodyPr rot="0" spcFirstLastPara="1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Times New Roman" charset="0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>
          <a:latin typeface="Times New Roman" charset="0"/>
          <a:cs typeface="Times New Roman" charset="0"/>
        </a:defRPr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2026-03-24T15:31:00Z</dcterms:created>
  <dc:creator>whtj</dc:creator>
  <cp:lastModifiedBy>whtj</cp:lastModifiedBy>
  <dcterms:modified xsi:type="dcterms:W3CDTF">2026-04-08T15:22:58Z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