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olors1.xml" ContentType="application/vnd.ms-office.chartcolorstyle+xml"/>
  <Override PartName="/word/charts/colors2.xml" ContentType="application/vnd.ms-office.chartcolorstyle+xml"/>
  <Override PartName="/word/charts/colors3.xml" ContentType="application/vnd.ms-office.chartcolorstyle+xml"/>
  <Override PartName="/word/charts/colors4.xml" ContentType="application/vnd.ms-office.chartcolorstyle+xml"/>
  <Override PartName="/word/charts/colors5.xml" ContentType="application/vnd.ms-office.chartcolorstyle+xml"/>
  <Override PartName="/word/charts/style1.xml" ContentType="application/vnd.ms-office.chartstyle+xml"/>
  <Override PartName="/word/charts/style2.xml" ContentType="application/vnd.ms-office.chartstyle+xml"/>
  <Override PartName="/word/charts/style3.xml" ContentType="application/vnd.ms-office.chartstyle+xml"/>
  <Override PartName="/word/charts/style4.xml" ContentType="application/vnd.ms-office.chartstyle+xml"/>
  <Override PartName="/word/charts/style5.xml" ContentType="application/vnd.ms-office.chartstyl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theme/themeOverride1.xml" ContentType="application/vnd.openxmlformats-officedocument.themeOverrid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C253CF"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bookmarkStart w:id="4" w:name="_GoBack"/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仙桃市2024年国民经济和社会发展</w:t>
      </w:r>
    </w:p>
    <w:p w14:paraId="031FBC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44"/>
          <w:szCs w:val="4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统计公报</w:t>
      </w:r>
    </w:p>
    <w:bookmarkEnd w:id="4"/>
    <w:p w14:paraId="6283EEF5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90A336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是仙桃市“奋进新千亿、建设示范区”的攻坚之年，也是经济总量跨越突破、城市能级持续跃升的关键一年。全年地区生产总值首次突破1100亿元大关，经济总量连续三年站稳千亿台阶。面对复杂多变的外部环境和多重挑战，全市上下锚定高质量发展目标，坚持稳中求进、以进促稳，推动经济回升向好态势持续巩固。产业结构更趋优化，工业经济提质增效，固定资产投资保持增长，民生保障坚实有力，为“十四五”规划目标实现奠定了坚实基础。‌</w:t>
      </w:r>
    </w:p>
    <w:p w14:paraId="08309A50">
      <w:pPr>
        <w:ind w:firstLine="640" w:firstLineChars="200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一、综合</w:t>
      </w:r>
    </w:p>
    <w:p w14:paraId="3043C7C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初步核算，</w:t>
      </w:r>
      <w:bookmarkStart w:id="0" w:name="OLE_LINK4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2024年全市地区生产总值为1125.13亿元，按可比价格计算，比上年增长5.9%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分产业看，第一产业增加值为137.93亿元，增长4.0%；第二产业增加值为483.17亿元，增长6.6%；第三产业增加值为504.04亿元，增长5.6%。三次产业结构由2023年的11.1:44.1:44.8调整为12.3:42.9:44.8。全年人均地区生产总值达10.35万元，比上年增加0.76万元。</w:t>
      </w:r>
    </w:p>
    <w:p w14:paraId="2A7ACFAB">
      <w:pPr>
        <w:ind w:firstLine="400" w:firstLineChars="200"/>
        <w:jc w:val="right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75565</wp:posOffset>
                </wp:positionV>
                <wp:extent cx="400050" cy="371475"/>
                <wp:effectExtent l="0" t="0" r="0" b="952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613535" y="1199515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CD4C9B"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05pt;margin-top:5.95pt;height:29.25pt;width:31.5pt;z-index:251659264;mso-width-relative:page;mso-height-relative:page;" fillcolor="#FFFFFF [3201]" filled="t" stroked="f" coordsize="21600,21600" o:gfxdata="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aPqOL0wAAAAgB&#10;AAAPAAAAAAAAAAEAIAAAACIAAABkcnMvZG93bnJldi54bWxQSwECFAAUAAAACACHTuJA2tj8LFkC&#10;AACaBAAADgAAAAAAAAABACAAAAAiAQAAZHJzL2Uyb0RvYy54bWxQSwUGAAAAAAYABgBZAQAA7QUA&#10;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0ECD4C9B">
                      <w:pP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114300" distR="114300">
            <wp:extent cx="4972685" cy="2819400"/>
            <wp:effectExtent l="4445" t="4445" r="13970" b="14605"/>
            <wp:docPr id="10" name="图表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>
        <w:rPr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356235</wp:posOffset>
                </wp:positionH>
                <wp:positionV relativeFrom="paragraph">
                  <wp:posOffset>3047365</wp:posOffset>
                </wp:positionV>
                <wp:extent cx="400050" cy="371475"/>
                <wp:effectExtent l="0" t="0" r="0" b="952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001E26">
                            <w:pPr>
                              <w:rPr>
                                <w:rFonts w:hint="eastAsia" w:eastAsia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  <w:lang w:val="en-US" w:eastAsia="zh-CN"/>
                              </w:rPr>
                              <w:t>%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8.05pt;margin-top:239.95pt;height:29.25pt;width:31.5pt;z-index:251660288;mso-width-relative:page;mso-height-relative:page;" fillcolor="#FFFFFF [3201]" filled="t" stroked="f" coordsize="21600,21600" o:gfxdata="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IFJxjbVAAAACgEAAA8AAAAAAAAA&#10;AQAgAAAAIgAAAGRycy9kb3ducmV2LnhtbFBLAQIUABQAAAAIAIdO4kD2tjtTTQIAAI4EAAAOAAAA&#10;AAAAAAEAIAAAACQBAABkcnMvZTJvRG9jLnhtbFBLBQYAAAAABgAGAFkBAADj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47001E26">
                      <w:pPr>
                        <w:rPr>
                          <w:rFonts w:hint="eastAsia" w:eastAsia="宋体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  <w:lang w:val="en-US" w:eastAsia="zh-CN"/>
                        </w:rPr>
                        <w:t>%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drawing>
          <wp:inline distT="0" distB="0" distL="114300" distR="114300">
            <wp:extent cx="4973955" cy="2704465"/>
            <wp:effectExtent l="4445" t="4445" r="12700" b="15240"/>
            <wp:docPr id="11" name="图表 10" descr="7b0a202020202263686172745265734964223a20223230343638383038220a7d0a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D017C97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年末拥有各类工商登记市场主体总数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16.08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6.7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新发展市场主体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16.5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%。其中，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新登记企业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4648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户，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22.3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新登记个体户15209户，同比下降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14.4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%。</w:t>
      </w:r>
    </w:p>
    <w:p w14:paraId="379559E2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年末全市共有1310家在库“四上”企业，其中规上工业538家，建筑业79家，批发和零售业337家，住宿和餐饮业163家，房地产业77家，服务业116家。</w:t>
      </w:r>
    </w:p>
    <w:p w14:paraId="39BDF67D">
      <w:pPr>
        <w:pStyle w:val="2"/>
        <w:rPr>
          <w:rFonts w:hint="eastAsia"/>
          <w:lang w:val="en-US" w:eastAsia="zh-CN"/>
        </w:rPr>
      </w:pPr>
    </w:p>
    <w:p w14:paraId="71456FBA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全年新增城镇就业13971人，新增返乡创业1241人，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超额完成全年目标任务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城镇登记失业率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为3.91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 w14:paraId="4BA8243E">
      <w:p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二、农业</w:t>
      </w:r>
    </w:p>
    <w:p w14:paraId="3B7E7FD4"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农林牧渔业总产值完成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239.38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亿元，按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可比价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计算，比上年增长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4.5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0651D0D9">
      <w:pPr>
        <w:ind w:firstLine="560" w:firstLineChars="200"/>
        <w:jc w:val="center"/>
        <w:rPr>
          <w:rFonts w:ascii="仿宋" w:hAnsi="仿宋" w:eastAsia="仿宋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表1 </w:t>
      </w:r>
      <w:r>
        <w:rPr>
          <w:rFonts w:hint="eastAsia" w:ascii="黑体" w:hAnsi="黑体" w:eastAsia="黑体" w:cs="黑体"/>
          <w:b/>
          <w:bCs/>
          <w:i w:val="0"/>
          <w:iCs w:val="0"/>
          <w:color w:val="000000" w:themeColor="text1"/>
          <w:kern w:val="0"/>
          <w:sz w:val="28"/>
          <w:szCs w:val="28"/>
          <w:highlight w:val="none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黑体" w:hAnsi="黑体" w:eastAsia="黑体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年仙桃市农林牧渔业总产值</w:t>
      </w:r>
    </w:p>
    <w:tbl>
      <w:tblPr>
        <w:tblStyle w:val="7"/>
        <w:tblW w:w="8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6"/>
        <w:gridCol w:w="3432"/>
        <w:gridCol w:w="2631"/>
      </w:tblGrid>
      <w:tr w14:paraId="7543B3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12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CA1970">
            <w:pPr>
              <w:jc w:val="center"/>
              <w:rPr>
                <w:rFonts w:ascii="宋体" w:hAnsi="宋体" w:cs="宋体"/>
                <w:b/>
                <w:bCs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6F1B2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总产值（亿元）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3260206">
            <w:pPr>
              <w:widowControl/>
              <w:jc w:val="center"/>
              <w:textAlignment w:val="center"/>
              <w:rPr>
                <w:rFonts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可比价增幅（%）</w:t>
            </w:r>
          </w:p>
        </w:tc>
      </w:tr>
      <w:tr w14:paraId="64F147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CD24D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农林牧渔业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14D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239.38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97476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4.5</w:t>
            </w:r>
          </w:p>
        </w:tc>
      </w:tr>
      <w:tr w14:paraId="3B0069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3A501"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其中：农业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61.38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B887B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1.2</w:t>
            </w:r>
          </w:p>
        </w:tc>
      </w:tr>
      <w:tr w14:paraId="5AD277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A22A9F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林业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44F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1.41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AEA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4.0</w:t>
            </w:r>
          </w:p>
        </w:tc>
      </w:tr>
      <w:tr w14:paraId="27C475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E257B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牧业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A19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17.41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E5C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12.7</w:t>
            </w:r>
          </w:p>
        </w:tc>
      </w:tr>
      <w:tr w14:paraId="27116E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C188F9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渔业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636B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142.71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2D05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4.9</w:t>
            </w:r>
          </w:p>
        </w:tc>
      </w:tr>
      <w:tr w14:paraId="133F6C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0" w:type="auto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2B5EC"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专业及辅助性活动</w:t>
            </w:r>
          </w:p>
        </w:tc>
        <w:tc>
          <w:tcPr>
            <w:tcW w:w="34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FF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16.46</w:t>
            </w:r>
          </w:p>
        </w:tc>
        <w:tc>
          <w:tcPr>
            <w:tcW w:w="2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BAF6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12.0</w:t>
            </w:r>
          </w:p>
        </w:tc>
      </w:tr>
    </w:tbl>
    <w:p w14:paraId="2E688A92">
      <w:pPr>
        <w:pStyle w:val="2"/>
        <w:ind w:left="0" w:leftChars="0" w:firstLine="0" w:firstLineChars="0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 w14:paraId="3C84AE63">
      <w:pPr>
        <w:ind w:firstLine="599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全年粮食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种植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面积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178.63万亩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增加1.4万亩，增长0.8%。其中，稻谷种植面积95.58亩，增加0.04万亩；小麦种植面积40.85万亩，增加1.39万亩；玉米种植面积21.52万亩，增加0.10万亩；大豆种植面积15.81万亩，增加0.12万亩。</w:t>
      </w:r>
    </w:p>
    <w:p w14:paraId="4259C803"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全年粮食总产量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71.57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比上年增加0.26万吨。谷物产量69.18万吨，增产0.3%。其中，稻谷产量54.92万吨，增产0.7%；小麦产量7.75万吨，减产0.7%；玉米产量5.98万吨，减产0.5%。大豆产量1.86万吨，增产0.8%。</w:t>
      </w:r>
    </w:p>
    <w:p w14:paraId="7D36488F"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棉花产量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0.88万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下降1.9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%；蔬菜及食用菌产量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66.83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增长3.7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%；油菜籽产量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13.41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比上年增0.01万吨，增长0.1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0E8FFA83"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全年猪肉产量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3.16万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吨，比上年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下降1.4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禽蛋产量3.01万吨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增长48.3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%。年末生猪存栏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27.75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比上年下降7.1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%；全年生猪出栏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40.79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万头，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下降1.0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</w:t>
      </w:r>
    </w:p>
    <w:p w14:paraId="7E7A5FB2">
      <w:pPr>
        <w:ind w:firstLine="599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全年水产品产量32.54万吨，比上年增长4.5%。其中黄鳝及小龙虾产量占总产量48.98%，黄鳝产量10.31万吨，增长28.1%；小龙虾产量5.63万吨，增长28.1%。</w:t>
      </w:r>
    </w:p>
    <w:p w14:paraId="13183F6E">
      <w:pPr>
        <w:ind w:firstLine="643" w:firstLineChars="200"/>
        <w:jc w:val="both"/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三、工业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和建筑业</w:t>
      </w:r>
    </w:p>
    <w:p w14:paraId="190CBD88">
      <w:pPr>
        <w:ind w:firstLine="599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全年规模以上工业增加值比上年增长6.8%。分经济类型看，股份制企业增长5.2%，外商及港澳台投资企业增长10.1%。轻工业下降1.3%，重工业增长18.8%。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全市纳统的30个工业大类行业中，有23个行业增加值实现同比增长，行业增长面达76.7%。其中，汽车制造业和电力、通用设备制造业、仪器仪表制造业得益于新入库企业拉动，增加值分别同比增长37.0%、32.6%、30.8%。</w:t>
      </w:r>
    </w:p>
    <w:p w14:paraId="671DE26B">
      <w:pPr>
        <w:pStyle w:val="2"/>
        <w:ind w:left="0" w:leftChars="0" w:firstLine="0" w:firstLineChars="0"/>
        <w:jc w:val="both"/>
        <w:rPr>
          <w:rFonts w:hint="eastAsia"/>
        </w:rPr>
      </w:pPr>
      <w:r>
        <w:drawing>
          <wp:inline distT="0" distB="0" distL="114300" distR="114300">
            <wp:extent cx="5078095" cy="2676525"/>
            <wp:effectExtent l="4445" t="4445" r="22860" b="5080"/>
            <wp:docPr id="9" name="图表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79F25C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全年完成规模以上工业总产值848.21亿元，比上年增长3.6%。其中，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机械及汽车零部件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87.92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增长29.7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电子电气产业完成112.09亿元，增长26.2%；新材料及医药制造产业完成143.26亿元，增长7.1%；纺织服装产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完成47.81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食品产业完成109.33亿元，下降0.2%；非织造布产业完成200.22亿元，下降14.8%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E24D659">
      <w:pPr>
        <w:ind w:firstLine="599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全年规模以上工业销售产值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比上年增长1.8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产品销售率为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93.8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%，出口交货值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增长3.3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%。全年规模以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工业企业实现利润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总额46.94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增长8.9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</w:p>
    <w:p w14:paraId="5B1B258F">
      <w:pPr>
        <w:ind w:firstLine="640" w:firstLineChars="20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全年工业用电量累计完成25.89亿千瓦时，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增长11.0％，占全社会用电量比重为52.8%。</w:t>
      </w:r>
    </w:p>
    <w:tbl>
      <w:tblPr>
        <w:tblStyle w:val="7"/>
        <w:tblW w:w="826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2"/>
        <w:gridCol w:w="1305"/>
        <w:gridCol w:w="1545"/>
        <w:gridCol w:w="1548"/>
      </w:tblGrid>
      <w:tr w14:paraId="3C8BC3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8260" w:type="dxa"/>
            <w:gridSpan w:val="4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03D43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表2  2024年全市主要工业产品产量及其增长速度</w:t>
            </w:r>
          </w:p>
        </w:tc>
      </w:tr>
      <w:tr w14:paraId="1DCE54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77EE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D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计量单位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CA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产量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596B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增长（%）</w:t>
            </w:r>
          </w:p>
        </w:tc>
      </w:tr>
      <w:tr w14:paraId="687C71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CDD4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小麦粉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15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6F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61AA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25.6 </w:t>
            </w:r>
          </w:p>
        </w:tc>
      </w:tr>
      <w:tr w14:paraId="77D3AA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661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4E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B2B7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50.9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6842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-21.0 </w:t>
            </w:r>
          </w:p>
        </w:tc>
      </w:tr>
      <w:tr w14:paraId="14DC07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AFD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饲料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AA2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00DC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B2C8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108.2 </w:t>
            </w:r>
          </w:p>
        </w:tc>
      </w:tr>
      <w:tr w14:paraId="034DA7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DD4B6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精制食用植物油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E772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0E59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8E10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-11.1 </w:t>
            </w:r>
          </w:p>
        </w:tc>
      </w:tr>
      <w:tr w14:paraId="39B8D3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BAD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冷冻水产品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0BC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C98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7CFB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 </w:t>
            </w:r>
          </w:p>
        </w:tc>
      </w:tr>
      <w:tr w14:paraId="299AD6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792E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膨化食品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64A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6664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3.3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C504D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 </w:t>
            </w:r>
          </w:p>
        </w:tc>
      </w:tr>
      <w:tr w14:paraId="351EB7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46D9C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焙烤松脆食品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89BB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01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4.1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2CC28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13.9 </w:t>
            </w:r>
          </w:p>
        </w:tc>
      </w:tr>
      <w:tr w14:paraId="0A0C4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7C4C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糖果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9B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207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A266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21.7 </w:t>
            </w:r>
          </w:p>
        </w:tc>
      </w:tr>
      <w:tr w14:paraId="7FBED3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508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方便面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51A0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43D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CD15C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 </w:t>
            </w:r>
          </w:p>
        </w:tc>
      </w:tr>
      <w:tr w14:paraId="694FEC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4E5E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E9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39F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6CE8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-13.3 </w:t>
            </w:r>
          </w:p>
        </w:tc>
      </w:tr>
      <w:tr w14:paraId="0383A5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04F00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饮料酒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156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万千升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80B6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0.3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6736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-25.0 </w:t>
            </w:r>
          </w:p>
        </w:tc>
      </w:tr>
      <w:tr w14:paraId="6BC842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462F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饮料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ACC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38E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7.9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4EBE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31.7 </w:t>
            </w:r>
          </w:p>
        </w:tc>
      </w:tr>
      <w:tr w14:paraId="3ACDEA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DC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B9FA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2878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0.9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3216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-50.0 </w:t>
            </w:r>
          </w:p>
        </w:tc>
      </w:tr>
      <w:tr w14:paraId="28E444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62B18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非织造布（无纺布）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F1A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202A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6743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-3.2 </w:t>
            </w:r>
          </w:p>
        </w:tc>
      </w:tr>
      <w:tr w14:paraId="286420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54E9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55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万件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4B8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969.6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48A7A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-73.5 </w:t>
            </w:r>
          </w:p>
        </w:tc>
      </w:tr>
      <w:tr w14:paraId="0A893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0E783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机制纸及纸板（外购原纸加工除外）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F986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815F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29.4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56726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23.5 </w:t>
            </w:r>
          </w:p>
        </w:tc>
      </w:tr>
      <w:tr w14:paraId="69C975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ECA5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纸制品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1F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E326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22.5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8F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11.9 </w:t>
            </w:r>
          </w:p>
        </w:tc>
      </w:tr>
      <w:tr w14:paraId="6195D5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E24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化学农药原药（折有效成分100％）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C82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625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9CBD0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 </w:t>
            </w:r>
          </w:p>
        </w:tc>
      </w:tr>
      <w:tr w14:paraId="6050D8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4C89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10C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968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858F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-38.0 </w:t>
            </w:r>
          </w:p>
        </w:tc>
      </w:tr>
      <w:tr w14:paraId="6563DC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7088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表面活性剂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3EB2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A1A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7989.2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0FF9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491.4 </w:t>
            </w:r>
          </w:p>
        </w:tc>
      </w:tr>
      <w:tr w14:paraId="388384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D16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5889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FF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1A921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 </w:t>
            </w:r>
          </w:p>
        </w:tc>
      </w:tr>
      <w:tr w14:paraId="54AC4B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5F4F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塑料制品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D2A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D1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9.2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D058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-14.0 </w:t>
            </w:r>
          </w:p>
        </w:tc>
      </w:tr>
      <w:tr w14:paraId="233505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8F66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D311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1A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3.9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461A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-40.9 </w:t>
            </w:r>
          </w:p>
        </w:tc>
      </w:tr>
      <w:tr w14:paraId="1B8DB8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BFA0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942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万立方米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59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79.9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3CB40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-29.2 </w:t>
            </w:r>
          </w:p>
        </w:tc>
      </w:tr>
      <w:tr w14:paraId="3B94F9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D8B97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预应力混凝土桩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A8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AE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35.3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01527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-3.3 </w:t>
            </w:r>
          </w:p>
        </w:tc>
      </w:tr>
      <w:tr w14:paraId="713F33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7266A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隔热、隔音人造矿物材料及其制品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C2B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6589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0.5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BD5B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25.0 </w:t>
            </w:r>
          </w:p>
        </w:tc>
      </w:tr>
      <w:tr w14:paraId="6CB08EC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9822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耐火材料制品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DC03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130D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0.6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15CB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20.0 </w:t>
            </w:r>
          </w:p>
        </w:tc>
      </w:tr>
      <w:tr w14:paraId="621044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4E93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金属压力容器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049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F9E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17745.0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F5E7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225.8 </w:t>
            </w:r>
          </w:p>
        </w:tc>
      </w:tr>
      <w:tr w14:paraId="2DEE95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B75EA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金属包装容器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03E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57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1598.0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667A5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1.5 </w:t>
            </w:r>
          </w:p>
        </w:tc>
      </w:tr>
      <w:tr w14:paraId="02A61C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93E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铸铁件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2112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B286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141B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18.4 </w:t>
            </w:r>
          </w:p>
        </w:tc>
      </w:tr>
      <w:tr w14:paraId="6F8AE7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19F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铸钢件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6A3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万吨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4F2B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965CF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0.0 </w:t>
            </w:r>
          </w:p>
        </w:tc>
      </w:tr>
      <w:tr w14:paraId="106422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05BA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通信及电子网络用电缆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9D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万对千米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F6E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8.0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5F2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17.6 </w:t>
            </w:r>
          </w:p>
        </w:tc>
      </w:tr>
      <w:tr w14:paraId="4EF84F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EB6D1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光电子器件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587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亿只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3CE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16.9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584B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31.0 </w:t>
            </w:r>
          </w:p>
        </w:tc>
      </w:tr>
      <w:tr w14:paraId="12E742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F36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印制电路板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CA0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万平方米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D9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389.8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FB75A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6.9 </w:t>
            </w:r>
          </w:p>
        </w:tc>
      </w:tr>
      <w:tr w14:paraId="6E4B56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exact"/>
        </w:trPr>
        <w:tc>
          <w:tcPr>
            <w:tcW w:w="386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1C88A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自来水生产量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7841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亿立方米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C66A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1.1 </w:t>
            </w:r>
          </w:p>
        </w:tc>
        <w:tc>
          <w:tcPr>
            <w:tcW w:w="15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0F76A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10.0 </w:t>
            </w:r>
          </w:p>
        </w:tc>
      </w:tr>
    </w:tbl>
    <w:p w14:paraId="4B147453">
      <w:pPr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全年建筑业总产值完成173.20亿元，同比增长9.0%。从签订合同额看，本年新签订合同额160.80亿元，下降7.3%。从施工情况看，建筑业企业房屋施工面积完成322.56万方，下降28.8%；其中，新开工面积146.29万方，下降38.2%。按从业人员看，从事建筑业活动的平均人数为2.05万人，下降20.4%。</w:t>
      </w:r>
    </w:p>
    <w:p w14:paraId="7D04811E">
      <w:pPr>
        <w:ind w:firstLine="643" w:firstLineChars="200"/>
        <w:jc w:val="both"/>
        <w:rPr>
          <w:rFonts w:hint="default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四、固定资产投资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黑体" w:hAnsi="黑体" w:eastAsia="黑体" w:cs="黑体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房地产</w:t>
      </w:r>
    </w:p>
    <w:p w14:paraId="3E322A93">
      <w:pPr>
        <w:ind w:firstLine="599"/>
        <w:rPr>
          <w:rFonts w:hint="default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固定资产投资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比上年增长8.7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按产业划分，第二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三次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分别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增长17.3%、0.4%，第一产业投资下降17.7%。分领域看，</w:t>
      </w:r>
      <w:r>
        <w:rPr>
          <w:rFonts w:hint="eastAsia" w:ascii="仿宋_GB2312" w:hAnsi="仿宋_GB2312" w:eastAsia="仿宋_GB2312" w:cs="仿宋_GB2312"/>
          <w:sz w:val="32"/>
          <w:szCs w:val="32"/>
        </w:rPr>
        <w:t>民间投资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、工业投资分别增长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40.7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%、17.3</w:t>
      </w:r>
      <w:r>
        <w:rPr>
          <w:rFonts w:hint="eastAsia" w:ascii="仿宋_GB2312" w:hAnsi="仿宋_GB2312" w:eastAsia="仿宋_GB2312" w:cs="仿宋_GB2312"/>
          <w:sz w:val="32"/>
          <w:szCs w:val="32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分行业看，全市高技术制造业投资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4.0%，高技术服务业投资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3.2%。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全市建安工程投资同比增长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%，建安投资占固定资产投资的比重为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79.4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%，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比上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年增加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0.9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个百分点</w:t>
      </w:r>
      <w:r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6347E6A0">
      <w:pPr>
        <w:pStyle w:val="2"/>
        <w:ind w:left="0" w:leftChars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drawing>
          <wp:inline distT="0" distB="0" distL="114300" distR="114300">
            <wp:extent cx="5272405" cy="2843530"/>
            <wp:effectExtent l="4445" t="4445" r="19050" b="9525"/>
            <wp:docPr id="4" name="图表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4C46A3C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全年工业投资同比增长17.3%，高于全市投资8.6个百分点，全年保持了两位数增长。工业投资占全部投资比重达57.7%，比同期提高4.3个百分点。全年工业技改投资同比增长49.9%，其中制造业技改投资同比增长54.1%。</w:t>
      </w:r>
    </w:p>
    <w:p w14:paraId="10A1B0F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yellow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全年共有房地产投资项目42个，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完成投资27.97亿元，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highlight w:val="none"/>
          <w:lang w:val="en-US" w:eastAsia="zh-CN" w:bidi="ar"/>
          <w14:textFill>
            <w14:solidFill>
              <w14:schemeClr w14:val="tx1"/>
            </w14:solidFill>
          </w14:textFill>
        </w:rPr>
        <w:t>同比增长0.3%。全年商品房销售面积完成59.16万方，增长3.0%。商品房销售额完成32.60亿元，下降8.7%。</w:t>
      </w:r>
    </w:p>
    <w:p w14:paraId="05298F21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3" w:firstLineChars="200"/>
        <w:jc w:val="both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五、国内外贸易</w:t>
      </w:r>
    </w:p>
    <w:p w14:paraId="524343DB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全年实现社会消费品零售总额547.15亿元，比上年增长2.2%。分城乡看，城镇实现零售额324.65亿元，增长1.7%；乡村实现零售额222.49亿元，增长2.8%。其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中，限额以上企业（单位）实现消费品零售额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102.87亿元，下降57.8%。分行业看，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批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发业实现销售额15.45亿元，下降70.1%；零售业实现销售额80.93亿元，下降56.3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%；住宿业实现营业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额0.83亿元，下降15.4%；餐饮业实现营业额5.65亿元，下降5.3%。</w:t>
      </w:r>
    </w:p>
    <w:p w14:paraId="576FB296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/>
        <w:jc w:val="both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drawing>
          <wp:inline distT="0" distB="0" distL="114300" distR="114300">
            <wp:extent cx="5274310" cy="2629535"/>
            <wp:effectExtent l="4445" t="4445" r="17145" b="13970"/>
            <wp:docPr id="16" name="图表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721FE74A">
      <w:pPr>
        <w:pStyle w:val="6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yellow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highlight w:val="none"/>
          <w:lang w:val="en-US" w:eastAsia="zh-CN" w:bidi="ar-SA"/>
          <w14:textFill>
            <w14:solidFill>
              <w14:schemeClr w14:val="tx1"/>
            </w14:solidFill>
          </w14:textFill>
        </w:rPr>
        <w:t>实现进出口85.2亿元，同比增长0.2%，其中出口总额73.8亿元，同比下降4.7%；进口总额11.4亿元，同比增长49.4%。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全年实际利用外资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2960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万美元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下降16.7%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BCF237C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六、交通、邮电和旅游</w:t>
      </w:r>
    </w:p>
    <w:p w14:paraId="084B0FCB">
      <w:pPr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　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年末全市公路通车里程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达4915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比上年末增长0.9%；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高速公路里程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达182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公里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，增长24.6%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全年完成货物周转量25.71亿吨公里，增长4.3%；旅客周转量0.45亿人公里，增长1.2%；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民用汽车拥有量累计15.29万辆，增长2.5%，其中私人汽车累计14.38万辆，增长7.1%。</w:t>
      </w:r>
    </w:p>
    <w:p w14:paraId="37948DB4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全年完成邮电业务收入12.91亿元，比上年增长3.5%，其中邮政业务收入3.73亿元，增长2.9%。</w:t>
      </w:r>
      <w:bookmarkStart w:id="1" w:name="OLE_LINK2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邮政快递业务量2659.58万件，增长25.2%；快递业务收入5226.42万元，增长15.8%。</w:t>
      </w:r>
      <w:bookmarkEnd w:id="1"/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年末本地固定电话用户9.38万户，下降1.7%；移动电话年末用户119.36万户，增长3.1%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固定互联网宽带接入用户67.31万户，增长4.6%。</w:t>
      </w:r>
    </w:p>
    <w:p w14:paraId="3753554F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全年共接待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国内外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游客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862.57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万人次，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增长13.8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%，旅游总收入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57.82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增长14.5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星级饭店3个，客房数369间。</w:t>
      </w:r>
    </w:p>
    <w:p w14:paraId="42C8B414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七、财政、金融</w:t>
      </w:r>
    </w:p>
    <w:p w14:paraId="298F85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bookmarkStart w:id="2" w:name="OLE_LINK1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bookmarkEnd w:id="2"/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财政总收入完成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61.68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比上年下降1.0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%。地方一般公共财预算收入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完成40.03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增长5.1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地方公共财政预算收入中税收收入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29.03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下降4.8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%，占地方一般公共预算收入的比重为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财政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总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支出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106.85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增长2.0%。</w:t>
      </w:r>
    </w:p>
    <w:p w14:paraId="6DCC66E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年末本外币各项存款余额1357.51亿元，比年初增加112.92亿元，同比增长9.1%；各项贷款余额718.11亿元，比年初增加62.95亿元，同比增长9.6%。</w:t>
      </w:r>
    </w:p>
    <w:p w14:paraId="4598B18A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八、科学技术和教育</w:t>
      </w:r>
    </w:p>
    <w:p w14:paraId="539E2B3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全年高新技术产业增加值完成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140.14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亿元，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比上年增长11.2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%，高新技术产业增加值占GDP比重为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全社会研发投入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完成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15.8亿元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，增长62.8％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研发投入强度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达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1.56％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新增专利授权量856件，其中授权发明专利91件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每万人发明专利拥有量为4.91件，同比增长10.6%，其中每万人高价值发明专利拥有量2.24件，同比增长37.5%。</w:t>
      </w:r>
    </w:p>
    <w:p w14:paraId="6D75C81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新增8家“瞪羚企业”，全市省级科创新物种企业达34家，新增1家省级企校联合创新中心，新增2家乡村振兴科技创新示范基地，新增5家湖北省科技特派员工作站，省级科技特派员工作站达到14家，基本实现镇办全覆盖。</w:t>
      </w:r>
    </w:p>
    <w:p w14:paraId="5B27FC7B">
      <w:pPr>
        <w:ind w:firstLine="640" w:firstLineChars="200"/>
        <w:rPr>
          <w:rFonts w:hint="eastAsia" w:ascii="黑体" w:hAnsi="黑体" w:eastAsia="黑体" w:cs="黑体"/>
          <w:color w:val="000000" w:themeColor="text1"/>
          <w:kern w:val="0"/>
          <w:sz w:val="32"/>
          <w:szCs w:val="30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全市学校总数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99个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，其中普通中学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42个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，小学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52个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。在校学生数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16.12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万人，其中普通中学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7.24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8.13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万人。专任教师数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10562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人，其中普通中学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5569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人，小学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4550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人。全市幼儿园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141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所，在园幼儿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2.17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万人。初中毕业生升学率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96.7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%，高中阶段教育毛入学率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98.3%，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乡村义务教育专任教师本科及以上学历比例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78.4%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 w14:paraId="462A8206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九、文化、卫生和体育</w:t>
      </w:r>
    </w:p>
    <w:p w14:paraId="44ABBA15">
      <w:pPr>
        <w:ind w:firstLine="640" w:firstLineChars="200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年末全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共有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个公共图书馆，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公共图书馆藏书80万册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文化站22个，民间剧团20个，电影院12个，文化和旅游部门所属艺术表演场馆3个。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规模以上文化及相关产业企业营业收入43.9亿元，比上年增长1.1%。</w:t>
      </w:r>
    </w:p>
    <w:p w14:paraId="2F7A1711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</w:t>
      </w:r>
      <w:r>
        <w:rPr>
          <w:rFonts w:hint="default" w:ascii="仿宋_GB2312" w:hAnsi="仿宋_GB2312" w:eastAsia="仿宋_GB2312" w:cs="仿宋_GB2312"/>
          <w:sz w:val="32"/>
          <w:szCs w:val="32"/>
          <w:highlight w:val="none"/>
          <w:lang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共有医院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个，基层医疗卫生机构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985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个，专业公共卫生机构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个。卫生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9449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人，其中执业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助理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医师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2949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人，注册护师、护士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3635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人。医疗卫生机构床位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8109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张，其中医院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5596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张，卫生院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1851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张，社区卫生服务中心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379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张。</w:t>
      </w:r>
    </w:p>
    <w:p w14:paraId="4C41565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举办了首届仙桃马拉松、中国龙舟公开赛（湖北仙桃站）、仙桃市第十届运动会、全国柔力球大赛（华中区湖北赛）等大型群众体育活动。在第33届夏季奥林匹克运动会中，仙桃籍运动员昌雅妮在跳水项目上勇夺1金1铜。年末全市各类体育场地3983个，体育场地面积达387.64万平方米，人均体育场地面积3.55平方米。</w:t>
      </w:r>
    </w:p>
    <w:p w14:paraId="646FD168">
      <w:p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十、人民生活和社会保障</w:t>
      </w:r>
    </w:p>
    <w:p w14:paraId="62EA6D7D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年末常住人口108.16万人，其中，城镇67.55万人，乡村40.61万人，城镇化率达到62.45%。年末总户数41.57万户，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比上年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下降1.0%；</w:t>
      </w:r>
      <w:bookmarkStart w:id="3" w:name="OLE_LINK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户籍人口146.96万人</w:t>
      </w:r>
      <w:bookmarkEnd w:id="3"/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，下降2.1%。</w:t>
      </w:r>
    </w:p>
    <w:p w14:paraId="5E79324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城镇常住居民人均可支配收入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44895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元，增长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4.1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%；农村常住居民人均可支配收入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28173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，增长6.0%；城镇居民人均消费支出27825元,增长3.8%；农村居民人均消费支出17166元，增长1.4%。</w:t>
      </w:r>
    </w:p>
    <w:p w14:paraId="5743AE84">
      <w:pPr>
        <w:pStyle w:val="2"/>
        <w:rPr>
          <w:rFonts w:hint="eastAsia"/>
          <w:lang w:val="en-US" w:eastAsia="zh-CN"/>
        </w:rPr>
      </w:pPr>
    </w:p>
    <w:tbl>
      <w:tblPr>
        <w:tblStyle w:val="7"/>
        <w:tblW w:w="8343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3"/>
        <w:gridCol w:w="1667"/>
        <w:gridCol w:w="983"/>
        <w:gridCol w:w="1617"/>
        <w:gridCol w:w="1133"/>
      </w:tblGrid>
      <w:tr w14:paraId="6B2674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8343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5DD92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表3  2024年全市居民人均消费支出及构成</w:t>
            </w:r>
          </w:p>
        </w:tc>
      </w:tr>
      <w:tr w14:paraId="7A926D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E26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指标名称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87C4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城镇居民人均消费支出（元）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0AC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增速（%）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F4A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农村居民人均消费支出（元）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 w:val="0"/>
            <w:vAlign w:val="center"/>
          </w:tcPr>
          <w:p w14:paraId="335E5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增速</w:t>
            </w:r>
          </w:p>
          <w:p w14:paraId="05212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（%)</w:t>
            </w:r>
          </w:p>
        </w:tc>
      </w:tr>
      <w:tr w14:paraId="36870D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79F9E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一、消费支出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EBD3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27825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D78C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3.8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E84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17166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289E0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 w14:paraId="38912A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192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（一）食品烟酒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0F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8567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C39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3.7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E62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5347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AA32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1.2</w:t>
            </w:r>
          </w:p>
        </w:tc>
      </w:tr>
      <w:tr w14:paraId="4CB023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C57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（二）衣着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771D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EF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4.2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560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CAEF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0.9</w:t>
            </w:r>
          </w:p>
        </w:tc>
      </w:tr>
      <w:tr w14:paraId="6EDC8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3E9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（三）居住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CF6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5413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8CCF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3.6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CD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3705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EE7D2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1.4</w:t>
            </w:r>
          </w:p>
        </w:tc>
      </w:tr>
      <w:tr w14:paraId="5FCEB4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DBF36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（四）生活用品及服务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B8E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1258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C93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53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979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31658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1.6</w:t>
            </w:r>
          </w:p>
        </w:tc>
      </w:tr>
      <w:tr w14:paraId="0B4EE8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0E7FC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（五）交通通信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15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4194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16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3.9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4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1266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52C3A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  <w:tr w14:paraId="59337D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3CDF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（六）教育文化娱乐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F142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3407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3B5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4.5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A5D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1958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49E1C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1.1</w:t>
            </w:r>
          </w:p>
        </w:tc>
      </w:tr>
      <w:tr w14:paraId="3DDC3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6E90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（七）医疗保健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C50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2678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A6E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2.4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3DBB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2614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7F8EBB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0.6</w:t>
            </w:r>
          </w:p>
        </w:tc>
      </w:tr>
      <w:tr w14:paraId="755D0B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</w:trPr>
        <w:tc>
          <w:tcPr>
            <w:tcW w:w="29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9A41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（八）其他用品和服务</w:t>
            </w:r>
          </w:p>
        </w:tc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4C8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680</w:t>
            </w:r>
          </w:p>
        </w:tc>
        <w:tc>
          <w:tcPr>
            <w:tcW w:w="9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840E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6.3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3462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483</w:t>
            </w:r>
          </w:p>
        </w:tc>
        <w:tc>
          <w:tcPr>
            <w:tcW w:w="11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noWrap/>
            <w:vAlign w:val="center"/>
          </w:tcPr>
          <w:p w14:paraId="60951F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1.3</w:t>
            </w:r>
          </w:p>
        </w:tc>
      </w:tr>
    </w:tbl>
    <w:p w14:paraId="4FCDBC1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年末全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参加城镇职工基本养老保险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35.3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万人，其中，在职职工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26.14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万人，离退休人员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9.16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万人；参加城乡居民基本养老保险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61.44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万人；参加职工基本医疗保险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12.86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万人；参加城乡居民基本医疗保险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111.38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万人；参加工伤保险人数10.48万人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参加生育保险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9.18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参加失业保险人数8.64万人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7794DB5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全年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居民最低生活保障已保人数为37180人，其中，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城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居民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为10247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人。社会福利事业不断发展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年末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提供住宿的民政服务机构28个，提供住宿的民政服务机构床位数3482张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。</w:t>
      </w:r>
    </w:p>
    <w:p w14:paraId="3D2FC6F5">
      <w:pPr>
        <w:ind w:firstLine="643" w:firstLineChars="200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十一、资源、环境、公共安全和应急管理</w:t>
      </w:r>
    </w:p>
    <w:p w14:paraId="66BA5C2B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全年共栽植各类苗木201余万株，折合造林面积约3.5万亩。公共宽幅绿地提档升级，新建改建10个游园、15个景观节点。全民健身步道230个，长度467.93公里。</w:t>
      </w:r>
    </w:p>
    <w:p w14:paraId="34256A3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全年空气优良天数324天，同比增加18天，空气质量优良率88.5%，同比提升4.7%，细颗粒物（PM2.5）平均浓度为31.2微克／立方米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，比上年下降18.8%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。地表水达到或好于Ⅲ类水体比例为60%。</w:t>
      </w:r>
    </w:p>
    <w:p w14:paraId="0518FF5D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全年各类生产安全事故53起，比上年下降18.5%；死亡29人，下降27.5%。治安案件受理数6183起，下降49.6%；治安案件查处数3604起，下降16.6%。交通事故发生数33370起，增长12.1%；交通事故死亡人数135人，增长2.3%。</w:t>
      </w:r>
    </w:p>
    <w:p w14:paraId="16B29228">
      <w:pPr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注释:</w:t>
      </w:r>
    </w:p>
    <w:p w14:paraId="44852208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highlight w:val="none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1.本公报部分数据为初步统计数，部分数据因四舍五</w:t>
      </w:r>
      <w:r>
        <w:rPr>
          <w:rFonts w:hint="eastAsia" w:ascii="仿宋_GB2312" w:hAnsi="仿宋_GB2312" w:eastAsia="仿宋_GB2312" w:cs="仿宋_GB2312"/>
          <w:sz w:val="28"/>
          <w:szCs w:val="28"/>
          <w:highlight w:val="none"/>
        </w:rPr>
        <w:t>入的原因，存在着与分项合计不等的情况。</w:t>
      </w:r>
    </w:p>
    <w:p w14:paraId="4BEEDE43"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2.地区生产总值（GDP）、各产业增加值绝对数按现行价格计算，增长速度按不变价格计算。</w:t>
      </w:r>
    </w:p>
    <w:p w14:paraId="31AC1F37">
      <w:pPr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数据来源：本公报中数据来源于各市直部门，总户数、人口数据来自公安局；城镇新增就业、城镇登记失业率、养老保险、失业保险数据来自人社局；医疗保险数据来自医保局；外贸数据来自商务局；市场主体、专利授权数据来自市场监督管理局；财政、金融数据来自财政局、人民银行；公共安全、应急数据来自公安局、应急管理局；城乡低保数据来自民政局；环境数据来自生态环境局；林业数据来自林业事业发展中心；文化、旅游、科技、卫生、教育、体育数据来自文广新局、科技局、卫健委、教育局、体育事业发展中心；交通、邮电数据来自交通运输局、邮政分公司、江汉移动公司、仙桃联通公司、电信分公司、湖北广电网络仙桃分公司。</w:t>
      </w:r>
    </w:p>
    <w:p w14:paraId="1D139AE7">
      <w:pPr>
        <w:pStyle w:val="2"/>
        <w:rPr>
          <w:rFonts w:hint="default"/>
          <w:sz w:val="32"/>
          <w:szCs w:val="32"/>
          <w:lang w:val="en-US" w:eastAsia="zh-CN"/>
        </w:rPr>
      </w:pPr>
    </w:p>
    <w:p w14:paraId="0918656F">
      <w:pP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05C74BB"/>
    <w:sectPr>
      <w:footerReference r:id="rId5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B6B85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2FFF10">
                          <w:pPr>
                            <w:pStyle w:val="4"/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2FFF10">
                    <w:pPr>
                      <w:pStyle w:val="4"/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420" w:lineRule="auto"/>
      </w:pPr>
      <w:r>
        <w:separator/>
      </w:r>
    </w:p>
  </w:footnote>
  <w:footnote w:type="continuationSeparator" w:id="1">
    <w:p>
      <w:pPr>
        <w:spacing w:line="42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xOWJlOWJiOGYxNjRkOTk0NjhkYTE3ODE0OTE3MDMifQ=="/>
    <w:docVar w:name="KSO_WPS_MARK_KEY" w:val="c21f8725-9601-4e9b-85e3-bf24c0350d8f"/>
  </w:docVars>
  <w:rsids>
    <w:rsidRoot w:val="17586DE3"/>
    <w:rsid w:val="02323E22"/>
    <w:rsid w:val="03822CFE"/>
    <w:rsid w:val="04926F71"/>
    <w:rsid w:val="055C132D"/>
    <w:rsid w:val="056F54F3"/>
    <w:rsid w:val="06337F30"/>
    <w:rsid w:val="063A42D7"/>
    <w:rsid w:val="065C2940"/>
    <w:rsid w:val="067A6E00"/>
    <w:rsid w:val="068A0F54"/>
    <w:rsid w:val="0AC62632"/>
    <w:rsid w:val="0AF11B2A"/>
    <w:rsid w:val="0AFF49D3"/>
    <w:rsid w:val="0C0D14EA"/>
    <w:rsid w:val="0C815C6B"/>
    <w:rsid w:val="0E8506F5"/>
    <w:rsid w:val="108035A1"/>
    <w:rsid w:val="10AD758F"/>
    <w:rsid w:val="11E72E7D"/>
    <w:rsid w:val="128A4205"/>
    <w:rsid w:val="128F2D41"/>
    <w:rsid w:val="12D26838"/>
    <w:rsid w:val="133D12AC"/>
    <w:rsid w:val="13EC5589"/>
    <w:rsid w:val="14B01FD9"/>
    <w:rsid w:val="14B22D17"/>
    <w:rsid w:val="1596314D"/>
    <w:rsid w:val="159C2072"/>
    <w:rsid w:val="17586DE3"/>
    <w:rsid w:val="17630E22"/>
    <w:rsid w:val="18396618"/>
    <w:rsid w:val="18E12B75"/>
    <w:rsid w:val="19F6361D"/>
    <w:rsid w:val="1A606D71"/>
    <w:rsid w:val="1CFD2F9D"/>
    <w:rsid w:val="1D0B5412"/>
    <w:rsid w:val="1D0D0BB2"/>
    <w:rsid w:val="1D754184"/>
    <w:rsid w:val="1DE67B5E"/>
    <w:rsid w:val="1F60659A"/>
    <w:rsid w:val="204465F2"/>
    <w:rsid w:val="20686980"/>
    <w:rsid w:val="21C20B97"/>
    <w:rsid w:val="22573452"/>
    <w:rsid w:val="228504C4"/>
    <w:rsid w:val="2290420C"/>
    <w:rsid w:val="2355143D"/>
    <w:rsid w:val="23AF3EF9"/>
    <w:rsid w:val="23B376E4"/>
    <w:rsid w:val="243B0746"/>
    <w:rsid w:val="25A15A8C"/>
    <w:rsid w:val="25D122F8"/>
    <w:rsid w:val="25DE12EA"/>
    <w:rsid w:val="26192BF6"/>
    <w:rsid w:val="263F604F"/>
    <w:rsid w:val="26B66697"/>
    <w:rsid w:val="27B003BD"/>
    <w:rsid w:val="27D53E98"/>
    <w:rsid w:val="282C1F5A"/>
    <w:rsid w:val="28395E4A"/>
    <w:rsid w:val="283F3982"/>
    <w:rsid w:val="284F2435"/>
    <w:rsid w:val="28940FA3"/>
    <w:rsid w:val="2A523DAF"/>
    <w:rsid w:val="2ADB44E2"/>
    <w:rsid w:val="2B0921B3"/>
    <w:rsid w:val="2B0B74DA"/>
    <w:rsid w:val="2BAA21BE"/>
    <w:rsid w:val="2BBB0F59"/>
    <w:rsid w:val="2BDC7916"/>
    <w:rsid w:val="2BF70DE1"/>
    <w:rsid w:val="2C8509DE"/>
    <w:rsid w:val="2EEC255E"/>
    <w:rsid w:val="2F480366"/>
    <w:rsid w:val="2F8F13BF"/>
    <w:rsid w:val="2FB3602C"/>
    <w:rsid w:val="30730A62"/>
    <w:rsid w:val="30A569B2"/>
    <w:rsid w:val="31850497"/>
    <w:rsid w:val="31D917B4"/>
    <w:rsid w:val="323112C7"/>
    <w:rsid w:val="328D3FBA"/>
    <w:rsid w:val="32B715FC"/>
    <w:rsid w:val="332B1190"/>
    <w:rsid w:val="33C26DE9"/>
    <w:rsid w:val="34C73077"/>
    <w:rsid w:val="34F03335"/>
    <w:rsid w:val="35EA38A4"/>
    <w:rsid w:val="368537E3"/>
    <w:rsid w:val="372E3010"/>
    <w:rsid w:val="3740100A"/>
    <w:rsid w:val="37D13F80"/>
    <w:rsid w:val="386E7BEF"/>
    <w:rsid w:val="38A547BD"/>
    <w:rsid w:val="38EF5415"/>
    <w:rsid w:val="391C5A3C"/>
    <w:rsid w:val="396439D2"/>
    <w:rsid w:val="3C3D21C2"/>
    <w:rsid w:val="3CC907EA"/>
    <w:rsid w:val="3E28200A"/>
    <w:rsid w:val="3FED06F9"/>
    <w:rsid w:val="404046D6"/>
    <w:rsid w:val="409B7337"/>
    <w:rsid w:val="41395AA3"/>
    <w:rsid w:val="41A16EB8"/>
    <w:rsid w:val="41B3007C"/>
    <w:rsid w:val="42C519E8"/>
    <w:rsid w:val="43526E1E"/>
    <w:rsid w:val="43B6162D"/>
    <w:rsid w:val="45151516"/>
    <w:rsid w:val="455B3C07"/>
    <w:rsid w:val="46A95479"/>
    <w:rsid w:val="46F5782D"/>
    <w:rsid w:val="47025BC7"/>
    <w:rsid w:val="475C3C7D"/>
    <w:rsid w:val="478137DD"/>
    <w:rsid w:val="481B05F8"/>
    <w:rsid w:val="4822409C"/>
    <w:rsid w:val="48267E28"/>
    <w:rsid w:val="49586EB6"/>
    <w:rsid w:val="4A564C76"/>
    <w:rsid w:val="4ADA014C"/>
    <w:rsid w:val="4BA37835"/>
    <w:rsid w:val="4BD1666A"/>
    <w:rsid w:val="4BE972B1"/>
    <w:rsid w:val="4EF6635C"/>
    <w:rsid w:val="4F005E52"/>
    <w:rsid w:val="4F0F2539"/>
    <w:rsid w:val="4F2C30CF"/>
    <w:rsid w:val="4FCB46B2"/>
    <w:rsid w:val="4FE525E9"/>
    <w:rsid w:val="50CE28D9"/>
    <w:rsid w:val="50E33C7D"/>
    <w:rsid w:val="52DC6A7E"/>
    <w:rsid w:val="54BC0A6D"/>
    <w:rsid w:val="54F076B3"/>
    <w:rsid w:val="56017E52"/>
    <w:rsid w:val="577054E5"/>
    <w:rsid w:val="577B1614"/>
    <w:rsid w:val="57D63BF4"/>
    <w:rsid w:val="5883476A"/>
    <w:rsid w:val="58F7673E"/>
    <w:rsid w:val="599F3034"/>
    <w:rsid w:val="5A4127D4"/>
    <w:rsid w:val="5AA6585E"/>
    <w:rsid w:val="5AD127E4"/>
    <w:rsid w:val="5C2941B8"/>
    <w:rsid w:val="5C585E07"/>
    <w:rsid w:val="5CD72030"/>
    <w:rsid w:val="5D8B2D43"/>
    <w:rsid w:val="5DF35415"/>
    <w:rsid w:val="5DFF0D81"/>
    <w:rsid w:val="5E2D54BF"/>
    <w:rsid w:val="5EAA31BF"/>
    <w:rsid w:val="5F6175B2"/>
    <w:rsid w:val="5FCE4878"/>
    <w:rsid w:val="60EC1BB6"/>
    <w:rsid w:val="61B5350A"/>
    <w:rsid w:val="63477177"/>
    <w:rsid w:val="6369505F"/>
    <w:rsid w:val="637E2B0C"/>
    <w:rsid w:val="64C52496"/>
    <w:rsid w:val="65453D1C"/>
    <w:rsid w:val="657F3D5C"/>
    <w:rsid w:val="65A478BB"/>
    <w:rsid w:val="65AC068A"/>
    <w:rsid w:val="66240220"/>
    <w:rsid w:val="66A32841"/>
    <w:rsid w:val="66AF0431"/>
    <w:rsid w:val="672F0283"/>
    <w:rsid w:val="67554035"/>
    <w:rsid w:val="678F0F40"/>
    <w:rsid w:val="68011C00"/>
    <w:rsid w:val="6846679E"/>
    <w:rsid w:val="69255A73"/>
    <w:rsid w:val="69320F5F"/>
    <w:rsid w:val="69E7678A"/>
    <w:rsid w:val="6AC8662D"/>
    <w:rsid w:val="6ACB2E59"/>
    <w:rsid w:val="6B661B72"/>
    <w:rsid w:val="6BD15C3F"/>
    <w:rsid w:val="6C230535"/>
    <w:rsid w:val="6CD14F5F"/>
    <w:rsid w:val="6E565636"/>
    <w:rsid w:val="6ECC78C8"/>
    <w:rsid w:val="6EF30CDE"/>
    <w:rsid w:val="6F490CF7"/>
    <w:rsid w:val="70400FD0"/>
    <w:rsid w:val="70866779"/>
    <w:rsid w:val="710345CB"/>
    <w:rsid w:val="716606CE"/>
    <w:rsid w:val="71806174"/>
    <w:rsid w:val="71AC47B7"/>
    <w:rsid w:val="71E73175"/>
    <w:rsid w:val="724108DD"/>
    <w:rsid w:val="7260497B"/>
    <w:rsid w:val="7273573A"/>
    <w:rsid w:val="733B6157"/>
    <w:rsid w:val="74441559"/>
    <w:rsid w:val="75A55E37"/>
    <w:rsid w:val="75D21002"/>
    <w:rsid w:val="75D93192"/>
    <w:rsid w:val="768B09FE"/>
    <w:rsid w:val="771611B7"/>
    <w:rsid w:val="77560455"/>
    <w:rsid w:val="797B67FE"/>
    <w:rsid w:val="7A9A2F27"/>
    <w:rsid w:val="7AFA207B"/>
    <w:rsid w:val="7BB511A9"/>
    <w:rsid w:val="7BC440C4"/>
    <w:rsid w:val="7BF00E78"/>
    <w:rsid w:val="7CD87BD7"/>
    <w:rsid w:val="7DAA44F4"/>
    <w:rsid w:val="7E451598"/>
    <w:rsid w:val="7EBA0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20" w:lineRule="auto"/>
      <w:jc w:val="both"/>
    </w:pPr>
    <w:rPr>
      <w:rFonts w:ascii="Calibri" w:hAnsi="Calibri" w:eastAsia="宋体" w:cs="Times New Roman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1"/>
    <w:qFormat/>
    <w:uiPriority w:val="0"/>
    <w:pPr>
      <w:ind w:left="420" w:leftChars="200"/>
    </w:pPr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hart" Target="charts/chart3.xml"/><Relationship Id="rId8" Type="http://schemas.openxmlformats.org/officeDocument/2006/relationships/chart" Target="charts/chart2.xml"/><Relationship Id="rId7" Type="http://schemas.openxmlformats.org/officeDocument/2006/relationships/chart" Target="charts/chart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chart" Target="charts/chart5.xml"/><Relationship Id="rId10" Type="http://schemas.openxmlformats.org/officeDocument/2006/relationships/chart" Target="charts/chart4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2.xml"/><Relationship Id="rId2" Type="http://schemas.microsoft.com/office/2011/relationships/chartStyle" Target="style2.xml"/><Relationship Id="rId1" Type="http://schemas.openxmlformats.org/officeDocument/2006/relationships/oleObject" Target="file:///C:\Users\Administrator\Desktop\2024&#24180;&#32479;&#35745;&#25163;&#20876;\&#22270;%20%202023&#32479;&#35745;&#20844;&#25253;.xlsx" TargetMode="External"/></Relationships>
</file>

<file path=word/charts/_rels/chart2.xml.rels><?xml version="1.0" encoding="UTF-8" standalone="yes"?>
<Relationships xmlns="http://schemas.openxmlformats.org/package/2006/relationships"><Relationship Id="rId4" Type="http://schemas.microsoft.com/office/2011/relationships/chartColorStyle" Target="colors1.xml"/><Relationship Id="rId3" Type="http://schemas.microsoft.com/office/2011/relationships/chartStyle" Target="style1.xml"/><Relationship Id="rId2" Type="http://schemas.openxmlformats.org/officeDocument/2006/relationships/themeOverride" Target="../theme/themeOverride1.xml"/><Relationship Id="rId1" Type="http://schemas.openxmlformats.org/officeDocument/2006/relationships/oleObject" Target="file:///C:\Users\Administrator\Desktop\2024&#24180;&#32479;&#35745;&#25163;&#20876;\&#22270;%20%202024&#32479;&#35745;&#20844;&#25253;.xlsx" TargetMode="External"/></Relationships>
</file>

<file path=word/charts/_rels/chart3.xml.rels><?xml version="1.0" encoding="UTF-8" standalone="yes"?>
<Relationships xmlns="http://schemas.openxmlformats.org/package/2006/relationships"><Relationship Id="rId3" Type="http://schemas.microsoft.com/office/2011/relationships/chartColorStyle" Target="colors4.xml"/><Relationship Id="rId2" Type="http://schemas.microsoft.com/office/2011/relationships/chartStyle" Target="style4.xml"/><Relationship Id="rId1" Type="http://schemas.openxmlformats.org/officeDocument/2006/relationships/oleObject" Target="file:///C:\Users\Administrator\Desktop\2024&#24180;&#32479;&#35745;&#25163;&#20876;\&#22270;%20%202024&#32479;&#35745;&#20844;&#25253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microsoft.com/office/2011/relationships/chartColorStyle" Target="colors3.xml"/><Relationship Id="rId2" Type="http://schemas.microsoft.com/office/2011/relationships/chartStyle" Target="style3.xml"/><Relationship Id="rId1" Type="http://schemas.openxmlformats.org/officeDocument/2006/relationships/oleObject" Target="file:///C:\Users\Administrator\Desktop\2024&#24180;&#32479;&#35745;&#25163;&#20876;\&#22270;%20%202024&#32479;&#35745;&#20844;&#25253;.xlsx" TargetMode="External"/></Relationships>
</file>

<file path=word/charts/_rels/chart5.xml.rels><?xml version="1.0" encoding="UTF-8" standalone="yes"?>
<Relationships xmlns="http://schemas.openxmlformats.org/package/2006/relationships"><Relationship Id="rId3" Type="http://schemas.microsoft.com/office/2011/relationships/chartColorStyle" Target="colors5.xml"/><Relationship Id="rId2" Type="http://schemas.microsoft.com/office/2011/relationships/chartStyle" Target="style5.xml"/><Relationship Id="rId1" Type="http://schemas.openxmlformats.org/officeDocument/2006/relationships/oleObject" Target="file:///C:\Users\Administrator\Desktop\2024&#24180;&#32479;&#35745;&#25163;&#20876;\&#22270;%20%202024&#32479;&#35745;&#20844;&#252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>
                <a:solidFill>
                  <a:schemeClr val="tx1"/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图1  20</a:t>
            </a:r>
            <a:r>
              <a:rPr lang="en-US" altLang="zh-CN">
                <a:solidFill>
                  <a:schemeClr val="tx1"/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20</a:t>
            </a:r>
            <a:r>
              <a:rPr>
                <a:solidFill>
                  <a:schemeClr val="tx1"/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—20</a:t>
            </a:r>
            <a:r>
              <a:rPr lang="en-US" altLang="zh-CN">
                <a:solidFill>
                  <a:schemeClr val="tx1"/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24</a:t>
            </a:r>
            <a:r>
              <a:rPr>
                <a:solidFill>
                  <a:schemeClr val="tx1"/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年全市地区生产总值增速</a:t>
            </a:r>
            <a:endParaRPr>
              <a:solidFill>
                <a:schemeClr val="tx1"/>
              </a:solidFill>
              <a:uFillTx/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62112118503384"/>
          <c:y val="0.0236486486486486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'[图  2023统计公报.xlsx]2021年公报图片'!$B$2</c:f>
              <c:strCache>
                <c:ptCount val="1"/>
                <c:pt idx="0">
                  <c:v>增速（%）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0.0517175328821351"/>
                  <c:y val="-0.043918918918918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25628910739369"/>
                  <c:y val="-0.047297297297297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172391776273784"/>
                  <c:y val="-0.060810810810810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344783552547567"/>
                  <c:y val="-0.0506756756756757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cap="none" spc="0" normalizeH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2023统计公报.xlsx]2021年公报图片'!$A$7:$A$11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'[图  2023统计公报.xlsx]2021年公报图片'!$B$7:$B$11</c:f>
              <c:numCache>
                <c:formatCode>General</c:formatCode>
                <c:ptCount val="5"/>
                <c:pt idx="0">
                  <c:v>-4.3</c:v>
                </c:pt>
                <c:pt idx="1">
                  <c:v>6.3</c:v>
                </c:pt>
                <c:pt idx="2">
                  <c:v>5.3</c:v>
                </c:pt>
                <c:pt idx="3">
                  <c:v>4.6</c:v>
                </c:pt>
                <c:pt idx="4">
                  <c:v>5.9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793586120"/>
        <c:axId val="63633650"/>
      </c:lineChart>
      <c:catAx>
        <c:axId val="793586120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63633650"/>
        <c:crosses val="autoZero"/>
        <c:auto val="1"/>
        <c:lblAlgn val="ctr"/>
        <c:lblOffset val="100"/>
        <c:noMultiLvlLbl val="0"/>
      </c:catAx>
      <c:valAx>
        <c:axId val="6363365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793586120"/>
        <c:crosses val="autoZero"/>
        <c:crossBetween val="between"/>
      </c:valAx>
      <c:spPr>
        <a:noFill/>
        <a:ln>
          <a:solidFill>
            <a:schemeClr val="bg2"/>
          </a:solidFill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c80cb6f6-9f19-40da-ba51-d80f3c75600a}"/>
      </c:ext>
    </c:extLst>
  </c:chart>
  <c:spPr>
    <a:solidFill>
      <a:schemeClr val="bg1"/>
    </a:solidFill>
    <a:ln w="9525" cap="flat" cmpd="sng" algn="ctr">
      <a:solidFill>
        <a:schemeClr val="bg2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0" vertOverflow="ellipsis" vert="horz" wrap="square" anchor="ctr" anchorCtr="1" forceAA="0"/>
          <a:lstStyle/>
          <a:p>
            <a:pPr defTabSz="914400"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sz="1400" b="1"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图2 2020—2024年全市地区生产总值构成</a:t>
            </a:r>
            <a:endParaRPr sz="1400" b="1"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'[图  2024统计公报.xlsx]2024年公报图片'!$B$20</c:f>
              <c:strCache>
                <c:ptCount val="1"/>
                <c:pt idx="0">
                  <c:v>第一产业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100" b="0" i="0" u="none" strike="noStrike" kern="1200" cap="none" spc="0" normalizeH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2024统计公报.xlsx]2024年公报图片'!$A$24:$A$28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'[图  2024统计公报.xlsx]2024年公报图片'!$B$24:$B$28</c:f>
              <c:numCache>
                <c:formatCode>General</c:formatCode>
                <c:ptCount val="5"/>
                <c:pt idx="0">
                  <c:v>11.5</c:v>
                </c:pt>
                <c:pt idx="1">
                  <c:v>12.6</c:v>
                </c:pt>
                <c:pt idx="2">
                  <c:v>12.2</c:v>
                </c:pt>
                <c:pt idx="3">
                  <c:v>11.1</c:v>
                </c:pt>
                <c:pt idx="4">
                  <c:v>12.3</c:v>
                </c:pt>
              </c:numCache>
            </c:numRef>
          </c:val>
        </c:ser>
        <c:ser>
          <c:idx val="1"/>
          <c:order val="1"/>
          <c:tx>
            <c:strRef>
              <c:f>'[图  2024统计公报.xlsx]2024年公报图片'!$C$20</c:f>
              <c:strCache>
                <c:ptCount val="1"/>
                <c:pt idx="0">
                  <c:v>第二产业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100" b="0" i="0" u="none" strike="noStrike" kern="1200" cap="none" spc="0" normalizeH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2024统计公报.xlsx]2024年公报图片'!$A$24:$A$28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'[图  2024统计公报.xlsx]2024年公报图片'!$C$24:$C$28</c:f>
              <c:numCache>
                <c:formatCode>General</c:formatCode>
                <c:ptCount val="5"/>
                <c:pt idx="0">
                  <c:v>45.3</c:v>
                </c:pt>
                <c:pt idx="1">
                  <c:v>45.7</c:v>
                </c:pt>
                <c:pt idx="2">
                  <c:v>45.1</c:v>
                </c:pt>
                <c:pt idx="3" c:formatCode="0.0_ ">
                  <c:v>44.1</c:v>
                </c:pt>
                <c:pt idx="4">
                  <c:v>42.9</c:v>
                </c:pt>
              </c:numCache>
            </c:numRef>
          </c:val>
        </c:ser>
        <c:ser>
          <c:idx val="2"/>
          <c:order val="2"/>
          <c:tx>
            <c:strRef>
              <c:f>'[图  2024统计公报.xlsx]2024年公报图片'!$D$20</c:f>
              <c:strCache>
                <c:ptCount val="1"/>
                <c:pt idx="0">
                  <c:v>第三产业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numFmt formatCode="General" sourceLinked="1"/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 forceAA="0"/>
              <a:lstStyle/>
              <a:p>
                <a:pPr>
                  <a:defRPr lang="zh-CN" sz="1100" b="0" i="0" u="none" strike="noStrike" kern="1200" cap="none" spc="0" normalizeH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黑体" panose="02010609060101010101" charset="-122"/>
                    <a:ea typeface="黑体" panose="02010609060101010101" charset="-122"/>
                    <a:cs typeface="黑体" panose="02010609060101010101" charset="-122"/>
                    <a:sym typeface="黑体" panose="02010609060101010101" charset="-122"/>
                  </a:defRPr>
                </a:pPr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2024统计公报.xlsx]2024年公报图片'!$A$24:$A$28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'[图  2024统计公报.xlsx]2024年公报图片'!$D$24:$D$28</c:f>
              <c:numCache>
                <c:formatCode>General</c:formatCode>
                <c:ptCount val="5"/>
                <c:pt idx="0">
                  <c:v>42.2</c:v>
                </c:pt>
                <c:pt idx="1">
                  <c:v>41.7</c:v>
                </c:pt>
                <c:pt idx="2">
                  <c:v>42.7</c:v>
                </c:pt>
                <c:pt idx="3">
                  <c:v>44.8</c:v>
                </c:pt>
                <c:pt idx="4">
                  <c:v>44.8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19"/>
        <c:overlap val="100"/>
        <c:axId val="714310951"/>
        <c:axId val="479821626"/>
      </c:barChart>
      <c:catAx>
        <c:axId val="714310951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6350" cap="flat" cmpd="sng" algn="ctr">
            <a:solidFill>
              <a:schemeClr val="tx1">
                <a:lumMod val="50000"/>
                <a:lumOff val="50000"/>
                <a:alpha val="2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400" b="0" i="0" u="none" strike="noStrike" kern="1200" baseline="0">
                <a:solidFill>
                  <a:schemeClr val="tx1">
                    <a:lumMod val="75000"/>
                    <a:lumOff val="2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479821626"/>
        <c:crosses val="autoZero"/>
        <c:auto val="1"/>
        <c:lblAlgn val="ctr"/>
        <c:lblOffset val="100"/>
        <c:noMultiLvlLbl val="0"/>
      </c:catAx>
      <c:valAx>
        <c:axId val="47982162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75000"/>
                    <a:lumOff val="25000"/>
                  </a:schemeClr>
                </a:solidFill>
                <a:uFill>
                  <a:solidFill>
                    <a:schemeClr val="tx1">
                      <a:lumMod val="75000"/>
                      <a:lumOff val="25000"/>
                    </a:schemeClr>
                  </a:solidFill>
                </a:u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</a:p>
        </c:txPr>
        <c:crossAx val="714310951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7f79e90c-67d3-407b-9d14-8778f573d031}"/>
      </c:ext>
    </c:extLst>
  </c:chart>
  <c:spPr>
    <a:solidFill>
      <a:schemeClr val="bg1"/>
    </a:solidFill>
    <a:ln w="6350" cap="flat" cmpd="sng" algn="ctr">
      <a:solidFill>
        <a:schemeClr val="tx1">
          <a:lumMod val="50000"/>
          <a:lumOff val="50000"/>
          <a:alpha val="25000"/>
        </a:schemeClr>
      </a:solidFill>
      <a:round/>
    </a:ln>
    <a:effectLst/>
  </c:spPr>
  <c:txPr>
    <a:bodyPr/>
    <a:lstStyle/>
    <a:p>
      <a:pPr>
        <a:defRPr lang="zh-CN" sz="1400">
          <a:latin typeface="黑体" panose="02010609060101010101" charset="-122"/>
          <a:ea typeface="黑体" panose="02010609060101010101" charset="-122"/>
          <a:cs typeface="黑体" panose="02010609060101010101" charset="-122"/>
          <a:sym typeface="黑体" panose="02010609060101010101" charset="-122"/>
        </a:defRPr>
      </a:pPr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 altLang="en-US"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3 2020—2024</a:t>
            </a:r>
            <a:r>
              <a:rPr altLang="en-US"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年全市</a:t>
            </a:r>
            <a:r>
              <a:rPr>
                <a:solidFill>
                  <a:schemeClr val="tx1"/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规模以</a:t>
            </a:r>
            <a:r>
              <a:rPr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上工业增加值增速</a:t>
            </a:r>
            <a:endParaRPr>
              <a:solidFill>
                <a:schemeClr val="tx1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>
        <c:manualLayout>
          <c:xMode val="edge"/>
          <c:yMode val="edge"/>
          <c:x val="0.107013888888889"/>
          <c:y val="0.0341880341880342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'[图  2024统计公报.xlsx]2024年公报图片'!$B$36</c:f>
              <c:strCache>
                <c:ptCount val="1"/>
                <c:pt idx="0">
                  <c:v>规模以上工业增加值增速</c:v>
                </c:pt>
              </c:strCache>
            </c:strRef>
          </c:tx>
          <c:spPr>
            <a:ln w="28575" cap="rnd">
              <a:solidFill>
                <a:srgbClr val="FE9B1C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rgbClr val="FD5C0C"/>
              </a:solidFill>
              <a:ln w="9525">
                <a:solidFill>
                  <a:srgbClr val="F9680D"/>
                </a:solidFill>
              </a:ln>
              <a:effectLst/>
            </c:spPr>
          </c:marker>
          <c:dLbls>
            <c:dLbl>
              <c:idx val="0"/>
              <c:layout>
                <c:manualLayout>
                  <c:x val="-0.0104166666666667"/>
                  <c:y val="-0.0208333333333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188273727647869"/>
                  <c:y val="0.0044236852510874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3125"/>
                  <c:y val="-0.0520833333333333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308417739985828"/>
                  <c:y val="-0.055815045472518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68925847192697"/>
                  <c:y val="-0.0391459074733096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cap="none" spc="0" normalizeH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2024统计公报.xlsx]2024年公报图片'!$A$40:$A$44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'[图  2024统计公报.xlsx]2024年公报图片'!$B$40:$B$44</c:f>
              <c:numCache>
                <c:formatCode>0.0_ </c:formatCode>
                <c:ptCount val="5"/>
                <c:pt idx="0">
                  <c:v>-3.8</c:v>
                </c:pt>
                <c:pt idx="1">
                  <c:v>-7.9</c:v>
                </c:pt>
                <c:pt idx="2">
                  <c:v>11</c:v>
                </c:pt>
                <c:pt idx="3" c:formatCode="General">
                  <c:v>5.5</c:v>
                </c:pt>
                <c:pt idx="4" c:formatCode="General">
                  <c:v>6.8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947324788"/>
        <c:axId val="243315772"/>
      </c:lineChart>
      <c:dateAx>
        <c:axId val="947324788"/>
        <c:scaling>
          <c:orientation val="minMax"/>
        </c:scaling>
        <c:delete val="0"/>
        <c:axPos val="b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 forceAA="0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uFill>
                  <a:solidFill>
                    <a:schemeClr val="tx1">
                      <a:lumMod val="65000"/>
                      <a:lumOff val="35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243315772"/>
        <c:crosses val="autoZero"/>
        <c:auto val="0"/>
        <c:lblAlgn val="ctr"/>
        <c:lblOffset val="100"/>
        <c:baseTimeUnit val="days"/>
      </c:dateAx>
      <c:valAx>
        <c:axId val="2433157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_ 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47324788"/>
        <c:crosses val="autoZero"/>
        <c:crossBetween val="between"/>
        <c:majorUnit val="3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fa51eba1-78ad-49e4-b95a-6b367aa95514}"/>
      </c:ext>
    </c:extLst>
  </c:chart>
  <c:spPr>
    <a:solidFill>
      <a:schemeClr val="bg1"/>
    </a:solidFill>
    <a:ln w="9525" cap="flat" cmpd="sng" algn="ctr">
      <a:solidFill>
        <a:schemeClr val="bg2"/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defRPr>
            </a:pPr>
            <a:r>
              <a:rPr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图</a:t>
            </a:r>
            <a:r>
              <a:rPr lang="en-US" altLang="zh-CN"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4 2024</a:t>
            </a:r>
            <a:r>
              <a:rPr altLang="en-US"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  <a:sym typeface="黑体" panose="02010609060101010101" charset="-122"/>
              </a:rPr>
              <a:t>年全市三次产业投资占固定资产投资比重</a:t>
            </a:r>
            <a:endParaRPr lang="en-US" altLang="en-US">
              <a:solidFill>
                <a:schemeClr val="tx1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  <a:sym typeface="黑体" panose="02010609060101010101" charset="-122"/>
            </a:endParaRPr>
          </a:p>
        </c:rich>
      </c:tx>
      <c:layout/>
      <c:overlay val="0"/>
      <c:spPr>
        <a:noFill/>
        <a:ln>
          <a:noFill/>
        </a:ln>
        <a:effectLst/>
      </c:spPr>
    </c:title>
    <c:autoTitleDeleted val="0"/>
    <c:plotArea>
      <c:layout/>
      <c:pieChart>
        <c:varyColors val="1"/>
        <c:ser>
          <c:idx val="0"/>
          <c:order val="0"/>
          <c:spPr>
            <a:ln w="19050" cap="rnd">
              <a:solidFill>
                <a:schemeClr val="lt1"/>
              </a:solidFill>
            </a:ln>
          </c:spPr>
          <c:explosion val="1"/>
          <c:dPt>
            <c:idx val="0"/>
            <c:bubble3D val="0"/>
            <c:spPr>
              <a:solidFill>
                <a:schemeClr val="accent4">
                  <a:lumMod val="75000"/>
                </a:schemeClr>
              </a:solidFill>
              <a:ln w="19050" cap="rnd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 w="19050" cap="rnd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 w="19050" cap="rnd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0.0829601381306951"/>
                  <c:y val="0.0998462469337932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100" b="0" i="0" u="none" strike="noStrike" kern="1200" cap="none" spc="0" normalizeH="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defRPr>
                    </a:pPr>
                    <a:r>
                      <a:rPr sz="1100" u="none" strike="noStrike" cap="none" normalizeH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第一产业</a:t>
                    </a:r>
                    <a:r>
                      <a:rPr lang="en-US" altLang="zh-CN" sz="1100" u="none" strike="noStrike" cap="none" normalizeH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3.3</a:t>
                    </a:r>
                    <a:r>
                      <a:rPr sz="1100" u="none" strike="noStrike" cap="none" normalizeH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%</a:t>
                    </a:r>
                    <a:endParaRPr sz="1100" u="none" strike="noStrike" cap="none" normalizeH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uFill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仿宋_GB2312" panose="02010609030101010101" pitchFamily="3" charset="-122"/>
                      <a:sym typeface="仿宋_GB2312" panose="02010609030101010101" pitchFamily="3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282397535321931"/>
                  <c:y val="-0.107309605307374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100" b="0" i="0" u="none" strike="noStrike" kern="1200" cap="none" spc="0" normalizeH="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defRPr>
                    </a:pPr>
                    <a:r>
                      <a:rPr sz="1100" u="none" strike="noStrike" cap="none" normalizeH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sym typeface="仿宋_GB2312" panose="02010609030101010101" pitchFamily="3" charset="-122"/>
                      </a:rPr>
                      <a:t>第二产业</a:t>
                    </a:r>
                    <a:r>
                      <a:rPr lang="en-US" altLang="zh-CN" sz="1100" u="none" strike="noStrike" cap="none" normalizeH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sym typeface="仿宋_GB2312" panose="02010609030101010101" pitchFamily="3" charset="-122"/>
                      </a:rPr>
                      <a:t>57.7</a:t>
                    </a:r>
                    <a:r>
                      <a:rPr sz="1100" u="none" strike="noStrike" cap="none" normalizeH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sym typeface="仿宋_GB2312" panose="02010609030101010101" pitchFamily="3" charset="-122"/>
                      </a:rPr>
                      <a:t>%</a:t>
                    </a:r>
                    <a:endParaRPr sz="1100" u="none" strike="noStrike" cap="none" normalizeH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uFill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sym typeface="仿宋_GB2312" panose="02010609030101010101" pitchFamily="3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233815707957011"/>
                  <c:y val="0.180636857568961"/>
                </c:manualLayout>
              </c:layout>
              <c:tx>
                <c:rich>
                  <a:bodyPr rot="0" spcFirstLastPara="0" vertOverflow="ellipsis" vert="horz" wrap="square" lIns="38100" tIns="19050" rIns="38100" bIns="19050" anchor="ctr" anchorCtr="1"/>
                  <a:lstStyle/>
                  <a:p>
                    <a:pPr defTabSz="914400">
                      <a:defRPr lang="zh-CN" sz="1100" b="0" i="0" u="none" strike="noStrike" kern="1200" cap="none" spc="0" normalizeH="0" baseline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defRPr>
                    </a:pPr>
                    <a:r>
                      <a:rPr sz="1100" u="none" strike="noStrike" cap="none" normalizeH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第三产业</a:t>
                    </a:r>
                    <a:r>
                      <a:rPr lang="en-US" altLang="zh-CN" sz="1100" u="none" strike="noStrike" cap="none" normalizeH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39.0</a:t>
                    </a:r>
                    <a:r>
                      <a:rPr sz="1100" u="none" strike="noStrike" cap="none" normalizeH="0"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  <a:uFill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</a:uFill>
                        <a:latin typeface="宋体" panose="02010600030101010101" charset="-122"/>
                        <a:ea typeface="宋体" panose="02010600030101010101" charset="-122"/>
                        <a:cs typeface="仿宋_GB2312" panose="02010609030101010101" pitchFamily="3" charset="-122"/>
                        <a:sym typeface="仿宋_GB2312" panose="02010609030101010101" pitchFamily="3" charset="-122"/>
                      </a:rPr>
                      <a:t>%</a:t>
                    </a:r>
                    <a:endParaRPr sz="1100" u="none" strike="noStrike" cap="none" normalizeH="0"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  <a:uFill>
                        <a:solidFill>
                          <a:schemeClr val="tx1">
                            <a:lumMod val="75000"/>
                            <a:lumOff val="25000"/>
                          </a:schemeClr>
                        </a:solidFill>
                      </a:uFill>
                      <a:latin typeface="宋体" panose="02010600030101010101" charset="-122"/>
                      <a:ea typeface="宋体" panose="02010600030101010101" charset="-122"/>
                      <a:cs typeface="仿宋_GB2312" panose="02010609030101010101" pitchFamily="3" charset="-122"/>
                      <a:sym typeface="仿宋_GB2312" panose="02010609030101010101" pitchFamily="3" charset="-122"/>
                    </a:endParaRP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solidFill>
                <a:schemeClr val="bg2"/>
              </a:solidFill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cap="none" spc="0" normalizeH="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uFill>
                      <a:solidFill>
                        <a:schemeClr val="tx1">
                          <a:lumMod val="75000"/>
                          <a:lumOff val="25000"/>
                        </a:schemeClr>
                      </a:solidFill>
                    </a:uFill>
                    <a:latin typeface="宋体" panose="02010600030101010101" charset="-122"/>
                    <a:ea typeface="宋体" panose="02010600030101010101" charset="-122"/>
                    <a:cs typeface="仿宋_GB2312" panose="02010609030101010101" pitchFamily="3" charset="-122"/>
                    <a:sym typeface="仿宋_GB2312" panose="02010609030101010101" pitchFamily="3" charset="-122"/>
                  </a:defRPr>
                </a:pPr>
              </a:p>
            </c:txPr>
            <c:dLblPos val="inEnd"/>
            <c:showLegendKey val="0"/>
            <c:showVal val="0"/>
            <c:showCatName val="1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'[图  2024统计公报.xlsx]2024年公报图片'!$A$82:$A$84</c:f>
              <c:strCache>
                <c:ptCount val="3"/>
                <c:pt idx="0">
                  <c:v>第一产业（%）</c:v>
                </c:pt>
                <c:pt idx="1">
                  <c:v>第二产业（%）</c:v>
                </c:pt>
                <c:pt idx="2">
                  <c:v>第三产业（%）</c:v>
                </c:pt>
              </c:strCache>
            </c:strRef>
          </c:cat>
          <c:val>
            <c:numRef>
              <c:f>'[图  2024统计公报.xlsx]2024年公报图片'!$B$82:$B$84</c:f>
              <c:numCache>
                <c:formatCode>0.0%</c:formatCode>
                <c:ptCount val="3"/>
                <c:pt idx="0">
                  <c:v>0.033</c:v>
                </c:pt>
                <c:pt idx="1">
                  <c:v>0.577</c:v>
                </c:pt>
                <c:pt idx="2">
                  <c:v>0.39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24"/>
      </c:pieChart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8a42193d-0ad9-47fc-96a0-367d51c09585}"/>
      </c:ext>
    </c:extLst>
  </c:chart>
  <c:spPr>
    <a:solidFill>
      <a:schemeClr val="bg1"/>
    </a:solidFill>
    <a:ln w="9525" cap="flat" cmpd="sng" algn="ctr">
      <a:solidFill>
        <a:schemeClr val="bg2"/>
      </a:solidFill>
      <a:round/>
    </a:ln>
    <a:effectLst/>
  </c:spPr>
  <c:txPr>
    <a:bodyPr/>
    <a:lstStyle/>
    <a:p>
      <a:pPr>
        <a:defRPr lang="zh-CN">
          <a:latin typeface="仿宋_GB2312" panose="02010609030101010101" pitchFamily="3" charset="-122"/>
          <a:ea typeface="仿宋_GB2312" panose="02010609030101010101" pitchFamily="3" charset="-122"/>
          <a:cs typeface="仿宋_GB2312" panose="02010609030101010101" pitchFamily="3" charset="-122"/>
          <a:sym typeface="仿宋_GB2312" panose="02010609030101010101" pitchFamily="3" charset="-122"/>
        </a:defRPr>
      </a:pPr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400" b="0" i="0" u="none" strike="noStrike" kern="1200" cap="none" spc="2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图5 20</a:t>
            </a:r>
            <a:r>
              <a:rPr lang="en-US" altLang="zh-CN"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20</a:t>
            </a:r>
            <a:r>
              <a:rPr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-20</a:t>
            </a:r>
            <a:r>
              <a:rPr lang="en-US" altLang="zh-CN"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24</a:t>
            </a:r>
            <a:r>
              <a:rPr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年</a:t>
            </a:r>
            <a:r>
              <a:rPr>
                <a:solidFill>
                  <a:schemeClr val="tx1"/>
                </a:solidFill>
                <a:uFillTx/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全市</a:t>
            </a:r>
            <a:r>
              <a:rPr>
                <a:solidFill>
                  <a:schemeClr val="tx1"/>
                </a:solidFill>
                <a:latin typeface="黑体" panose="02010609060101010101" charset="-122"/>
                <a:ea typeface="黑体" panose="02010609060101010101" charset="-122"/>
                <a:cs typeface="黑体" panose="02010609060101010101" charset="-122"/>
              </a:rPr>
              <a:t>社会消费品零售总额及增速</a:t>
            </a:r>
            <a:endParaRPr>
              <a:solidFill>
                <a:schemeClr val="tx1"/>
              </a:solidFill>
              <a:latin typeface="黑体" panose="02010609060101010101" charset="-122"/>
              <a:ea typeface="黑体" panose="02010609060101010101" charset="-122"/>
              <a:cs typeface="黑体" panose="02010609060101010101" charset="-122"/>
            </a:endParaRPr>
          </a:p>
        </c:rich>
      </c:tx>
      <c:layout>
        <c:manualLayout>
          <c:xMode val="edge"/>
          <c:yMode val="edge"/>
          <c:x val="0.112465410462512"/>
          <c:y val="0.0277713492247165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gradFill rotWithShape="1">
              <a:gsLst>
                <a:gs pos="0">
                  <a:schemeClr val="accent1">
                    <a:lumMod val="110000"/>
                    <a:satMod val="105000"/>
                    <a:tint val="67000"/>
                  </a:schemeClr>
                </a:gs>
                <a:gs pos="50000">
                  <a:schemeClr val="accent1">
                    <a:lumMod val="105000"/>
                    <a:satMod val="103000"/>
                    <a:tint val="73000"/>
                  </a:schemeClr>
                </a:gs>
                <a:gs pos="100000">
                  <a:schemeClr val="accent1">
                    <a:lumMod val="105000"/>
                    <a:satMod val="109000"/>
                    <a:tint val="81000"/>
                  </a:schemeClr>
                </a:gs>
              </a:gsLst>
              <a:lin ang="5400000" scaled="0"/>
            </a:gradFill>
            <a:ln w="9525" cap="flat" cmpd="sng" algn="ctr">
              <a:solidFill>
                <a:schemeClr val="accent1">
                  <a:shade val="95000"/>
                </a:schemeClr>
              </a:solidFill>
              <a:round/>
            </a:ln>
            <a:effectLst/>
          </c:spPr>
          <c:invertIfNegative val="0"/>
          <c:dLbls>
            <c:dLbl>
              <c:idx val="1"/>
              <c:layout>
                <c:manualLayout>
                  <c:x val="-0.0601974476282206"/>
                  <c:y val="-0.02004346776141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-0.0655398413245947"/>
                  <c:y val="0.0103782287822878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-0.0502046713219359"/>
                  <c:y val="0.028012557353296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-0.046111244883217"/>
                  <c:y val="0.0200434677614103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cap="none" spc="0" normalizeH="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uFill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'[图  2024统计公报.xlsx]2024年公报图片'!$A$59:$A$63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'[图  2024统计公报.xlsx]2024年公报图片'!$B$59:$B$63</c:f>
              <c:numCache>
                <c:formatCode>General</c:formatCode>
                <c:ptCount val="5"/>
                <c:pt idx="0">
                  <c:v>381.93</c:v>
                </c:pt>
                <c:pt idx="1">
                  <c:v>482.02</c:v>
                </c:pt>
                <c:pt idx="2">
                  <c:v>498.32</c:v>
                </c:pt>
                <c:pt idx="3">
                  <c:v>535.44</c:v>
                </c:pt>
                <c:pt idx="4">
                  <c:v>547.15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16759197"/>
        <c:axId val="122761975"/>
      </c:barChart>
      <c:lineChart>
        <c:grouping val="standard"/>
        <c:varyColors val="0"/>
        <c:ser>
          <c:idx val="1"/>
          <c:order val="1"/>
          <c:spPr>
            <a:ln w="158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gradFill rotWithShape="1">
                <a:gsLst>
                  <a:gs pos="0">
                    <a:schemeClr val="accent2">
                      <a:lumMod val="110000"/>
                      <a:satMod val="105000"/>
                      <a:tint val="67000"/>
                    </a:schemeClr>
                  </a:gs>
                  <a:gs pos="50000">
                    <a:schemeClr val="accent2">
                      <a:lumMod val="105000"/>
                      <a:satMod val="103000"/>
                      <a:tint val="73000"/>
                    </a:schemeClr>
                  </a:gs>
                  <a:gs pos="100000">
                    <a:schemeClr val="accent2">
                      <a:lumMod val="105000"/>
                      <a:satMod val="109000"/>
                      <a:tint val="81000"/>
                    </a:schemeClr>
                  </a:gs>
                </a:gsLst>
                <a:lin ang="5400000" scaled="0"/>
              </a:gradFill>
              <a:ln w="9525" cap="flat" cmpd="sng" algn="ctr">
                <a:solidFill>
                  <a:schemeClr val="accent2">
                    <a:shade val="95000"/>
                  </a:schemeClr>
                </a:solidFill>
                <a:round/>
              </a:ln>
              <a:effectLst/>
            </c:spPr>
          </c:marker>
          <c:dLbls>
            <c:dLbl>
              <c:idx val="0"/>
              <c:layout>
                <c:manualLayout>
                  <c:x val="0.0120394895256441"/>
                  <c:y val="0.0316019032187078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-0.00377358490566038"/>
                  <c:y val="0.044368600682593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243083171165073"/>
                  <c:y val="-0.0318312910091559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267409551795871"/>
                  <c:y val="-0.010517549714746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100" b="0" i="0" u="none" strike="noStrike" kern="1200" cap="none" spc="0" normalizeH="0" baseline="0">
                    <a:solidFill>
                      <a:schemeClr val="tx1">
                        <a:lumMod val="50000"/>
                        <a:lumOff val="50000"/>
                      </a:schemeClr>
                    </a:solidFill>
                    <a:uFill>
                      <a:solidFill>
                        <a:schemeClr val="tx1">
                          <a:lumMod val="50000"/>
                          <a:lumOff val="50000"/>
                        </a:schemeClr>
                      </a:solidFill>
                    </a:uFill>
                    <a:latin typeface="+mn-lt"/>
                    <a:ea typeface="+mn-ea"/>
                    <a:cs typeface="+mn-cs"/>
                  </a:defRPr>
                </a:pPr>
              </a:p>
            </c:txPr>
            <c:dLblPos val="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'[图  2024统计公报.xlsx]2024年公报图片'!$A$59:$A$63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'[图  2024统计公报.xlsx]2024年公报图片'!$C$59:$C$63</c:f>
              <c:numCache>
                <c:formatCode>General</c:formatCode>
                <c:ptCount val="5"/>
                <c:pt idx="0">
                  <c:v>-14.2</c:v>
                </c:pt>
                <c:pt idx="1">
                  <c:v>26.2</c:v>
                </c:pt>
                <c:pt idx="2">
                  <c:v>3.4</c:v>
                </c:pt>
                <c:pt idx="3">
                  <c:v>7.4</c:v>
                </c:pt>
                <c:pt idx="4">
                  <c:v>2.2</c:v>
                </c:pt>
              </c:numCache>
            </c:numRef>
          </c:val>
          <c:smooth val="0"/>
        </c:ser>
        <c:dLbls>
          <c:showLegendKey val="0"/>
          <c:showVal val="1"/>
          <c:showCatName val="0"/>
          <c:showSerName val="0"/>
          <c:showPercent val="0"/>
          <c:showBubbleSize val="0"/>
        </c:dLbls>
        <c:marker val="1"/>
        <c:smooth val="0"/>
        <c:axId val="340027452"/>
        <c:axId val="923977418"/>
      </c:lineChart>
      <c:catAx>
        <c:axId val="516759197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1200" b="0" i="0" u="none" strike="noStrike" kern="1200" cap="none" spc="0" normalizeH="0" baseline="0">
                <a:solidFill>
                  <a:schemeClr val="tx1">
                    <a:lumMod val="50000"/>
                    <a:lumOff val="50000"/>
                  </a:schemeClr>
                </a:solidFill>
                <a:uFill>
                  <a:solidFill>
                    <a:schemeClr val="tx1">
                      <a:lumMod val="50000"/>
                      <a:lumOff val="50000"/>
                    </a:schemeClr>
                  </a:solidFill>
                </a:uFill>
                <a:latin typeface="+mn-lt"/>
                <a:ea typeface="+mn-ea"/>
                <a:cs typeface="+mn-cs"/>
              </a:defRPr>
            </a:pPr>
          </a:p>
        </c:txPr>
        <c:crossAx val="122761975"/>
        <c:crosses val="autoZero"/>
        <c:auto val="1"/>
        <c:lblAlgn val="ctr"/>
        <c:lblOffset val="100"/>
        <c:noMultiLvlLbl val="0"/>
      </c:catAx>
      <c:valAx>
        <c:axId val="122761975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516759197"/>
        <c:crosses val="autoZero"/>
        <c:crossBetween val="between"/>
      </c:valAx>
      <c:catAx>
        <c:axId val="340027452"/>
        <c:scaling>
          <c:orientation val="minMax"/>
        </c:scaling>
        <c:delete val="1"/>
        <c:axPos val="b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923977418"/>
        <c:crosses val="autoZero"/>
        <c:auto val="1"/>
        <c:lblAlgn val="ctr"/>
        <c:lblOffset val="100"/>
        <c:noMultiLvlLbl val="0"/>
      </c:catAx>
      <c:valAx>
        <c:axId val="923977418"/>
        <c:scaling>
          <c:orientation val="minMax"/>
        </c:scaling>
        <c:delete val="0"/>
        <c:axPos val="r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50000"/>
                    <a:lumOff val="50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40027452"/>
        <c:crosses val="max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  <c:extLst>
      <c:ext uri="{0b15fc19-7d7d-44ad-8c2d-2c3a37ce22c3}">
        <chartProps xmlns="https://web.wps.cn/et/2018/main" chartId="{c11cec59-06f5-41b9-8d0d-cc6d4480f754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23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0">
      <cs:styleClr val="auto"/>
    </cs:fillRef>
    <cs:effectRef idx="0">
      <cs:styleClr val="auto"/>
    </cs:effectRef>
    <cs:fontRef idx="minor">
      <a:schemeClr val="dk1"/>
    </cs:fontRef>
    <cs:spPr>
      <a:gradFill>
        <a:gsLst>
          <a:gs pos="0">
            <a:schemeClr val="phClr">
              <a:lumMod val="40000"/>
              <a:lumOff val="60000"/>
            </a:schemeClr>
          </a:gs>
          <a:gs pos="90000">
            <a:schemeClr val="phClr"/>
          </a:gs>
        </a:gsLst>
        <a:lin ang="5400000" scaled="0"/>
      </a:gradFill>
      <a:ln>
        <a:gradFill>
          <a:gsLst>
            <a:gs pos="0">
              <a:schemeClr val="phClr"/>
            </a:gs>
            <a:gs pos="100000">
              <a:schemeClr val="phClr">
                <a:lumMod val="75000"/>
              </a:schemeClr>
            </a:gs>
          </a:gsLst>
          <a:lin ang="5400000" scaled="1"/>
        </a:gradFill>
      </a:ln>
      <a:effectLst>
        <a:outerShdw blurRad="76200" dist="25400" dir="2700000" algn="tl" rotWithShape="0">
          <a:schemeClr val="phClr">
            <a:lumMod val="50000"/>
            <a:alpha val="30000"/>
          </a:schemeClr>
        </a:outerShdw>
      </a:effectLst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325">
  <cs:axisTitle>
    <cs:lnRef idx="0"/>
    <cs:fillRef idx="0"/>
    <cs:effectRef idx="0"/>
    <cs:fontRef idx="minor">
      <a:schemeClr val="tx1">
        <a:lumMod val="50000"/>
        <a:lumOff val="50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>
  <cs:dataPoint3D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3D>
  <cs:dataPointLine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158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2">
      <cs:styleClr val="auto"/>
    </cs:fillRef>
    <cs:effectRef idx="1"/>
    <cs:fontRef idx="minor">
      <a:schemeClr val="dk1"/>
    </cs:fontRef>
    <cs:spPr>
      <a:ln w="9525" cap="flat" cmpd="sng" algn="ctr">
        <a:solidFill>
          <a:schemeClr val="phClr">
            <a:shade val="95000"/>
          </a:schemeClr>
        </a:solidFill>
        <a:round/>
      </a:ln>
    </cs:spPr>
  </cs:dataPointMarker>
  <cs:dataPointMarkerLayout symbol="circle" size="5"/>
  <cs:dataPointWirefram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50000"/>
        <a:lumOff val="50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75000"/>
            <a:lumOff val="25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>
        <a:solidFill>
          <a:schemeClr val="tx1">
            <a:lumMod val="5000"/>
            <a:lumOff val="95000"/>
          </a:schemeClr>
        </a:solidFill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75000"/>
            <a:lumOff val="25000"/>
          </a:schemeClr>
        </a:solidFill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50000"/>
        <a:lumOff val="50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prstDash val="dash"/>
      </a:ln>
    </cs:spPr>
  </cs:seriesLine>
  <cs:title>
    <cs:lnRef idx="0"/>
    <cs:fillRef idx="0"/>
    <cs:effectRef idx="0"/>
    <cs:fontRef idx="minor">
      <a:schemeClr val="tx1">
        <a:lumMod val="50000"/>
        <a:lumOff val="50000"/>
      </a:schemeClr>
    </cs:fontRef>
    <cs:defRPr sz="1400" kern="1200" cap="none" spc="20" baseline="0"/>
  </cs:title>
  <cs:trendline>
    <cs:lnRef idx="0">
      <cs:styleClr val="auto"/>
    </cs:lnRef>
    <cs:fillRef idx="2"/>
    <cs:effectRef idx="0"/>
    <cs:fontRef idx="minor">
      <a:schemeClr val="dk1"/>
    </cs:fontRef>
    <cs:spPr>
      <a:ln w="9525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50000"/>
        <a:lumOff val="50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word/theme/themeOverride1.xml><?xml version="1.0" encoding="utf-8"?>
<a:themeOverride xmlns:a="http://schemas.openxmlformats.org/drawingml/2006/main">
  <a:clrScheme name="WPS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874CB"/>
    </a:accent1>
    <a:accent2>
      <a:srgbClr val="EE822F"/>
    </a:accent2>
    <a:accent3>
      <a:srgbClr val="F2BA02"/>
    </a:accent3>
    <a:accent4>
      <a:srgbClr val="75BD42"/>
    </a:accent4>
    <a:accent5>
      <a:srgbClr val="30C0B4"/>
    </a:accent5>
    <a:accent6>
      <a:srgbClr val="E54C5E"/>
    </a:accent6>
    <a:hlink>
      <a:srgbClr val="0026E5"/>
    </a:hlink>
    <a:folHlink>
      <a:srgbClr val="7E1FAD"/>
    </a:folHlink>
  </a:clrScheme>
  <a:fontScheme name="WPS">
    <a:majorFont>
      <a:latin typeface="Calibri Light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WPS">
    <a:fillStyleLst>
      <a:solidFill>
        <a:schemeClr val="phClr"/>
      </a:solidFill>
      <a:gradFill>
        <a:gsLst>
          <a:gs pos="0">
            <a:schemeClr val="phClr">
              <a:lumOff val="17500"/>
            </a:schemeClr>
          </a:gs>
          <a:gs pos="100000">
            <a:schemeClr val="phClr"/>
          </a:gs>
        </a:gsLst>
        <a:lin ang="2700000" scaled="0"/>
      </a:gradFill>
      <a:gradFill>
        <a:gsLst>
          <a:gs pos="0">
            <a:schemeClr val="phClr">
              <a:hueOff val="-2520000"/>
            </a:schemeClr>
          </a:gs>
          <a:gs pos="100000">
            <a:schemeClr val="phClr"/>
          </a:gs>
        </a:gsLst>
        <a:lin ang="2700000" scaled="0"/>
      </a:gradFill>
    </a:fillStyleLst>
    <a:lnStyleLst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2700" cap="flat" cmpd="sng" algn="ctr">
        <a:gradFill>
          <a:gsLst>
            <a:gs pos="0">
              <a:schemeClr val="phClr">
                <a:hueOff val="-4200000"/>
              </a:schemeClr>
            </a:gs>
            <a:gs pos="100000">
              <a:schemeClr val="phClr"/>
            </a:gs>
          </a:gsLst>
          <a:lin ang="2700000" scaled="1"/>
        </a:gradFill>
        <a:prstDash val="solid"/>
        <a:miter lim="800000"/>
      </a:ln>
    </a:lnStyleLst>
    <a:effectStyleLst>
      <a:effectStyle>
        <a:effectLst>
          <a:outerShdw blurRad="101600" dist="50800" dir="5400000" algn="ctr" rotWithShape="0">
            <a:schemeClr val="phClr">
              <a:alpha val="60000"/>
            </a:schemeClr>
          </a:outerShdw>
        </a:effectLst>
      </a:effectStyle>
      <a:effectStyle>
        <a:effectLst>
          <a:reflection stA="50000" endA="300" endPos="40000" dist="25400" dir="5400000" sy="-100000" algn="bl" rotWithShape="0"/>
        </a:effectLst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4638</Words>
  <Characters>6092</Characters>
  <Lines>0</Lines>
  <Paragraphs>0</Paragraphs>
  <TotalTime>107</TotalTime>
  <ScaleCrop>false</ScaleCrop>
  <LinksUpToDate>false</LinksUpToDate>
  <CharactersWithSpaces>6194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2024-03-26T07:47:00Z</dcterms:created>
  <dc:creator>马明</dc:creator>
  <cp:lastModifiedBy>FourLeafClover1395896375</cp:lastModifiedBy>
  <cp:lastPrinted>2025-04-08T07:53:00Z</cp:lastPrinted>
  <dcterms:modified xsi:type="dcterms:W3CDTF">2025-04-11T03:48:29Z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8B934EEDC0B6457D983B0533E46DE78A</vt:lpwstr>
  </property>
  <property fmtid="{D5CDD505-2E9C-101B-9397-08002B2CF9AE}" pid="4" name="KSOTemplateDocerSaveRecord">
    <vt:lpwstr>eyJoZGlkIjoiZjgwZDVmY2U5ODBjMTlmMDY5OTRhMGM2YTFkZTAxNjkiLCJ1c2VySWQiOiIxMzIwOTc2MyJ9</vt:lpwstr>
  </property>
</Properties>
</file>