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3DFFF">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咸宁市202</w:t>
      </w:r>
      <w:r>
        <w:rPr>
          <w:rFonts w:hint="eastAsia" w:ascii="方正小标宋简体" w:hAnsi="方正小标宋简体" w:eastAsia="方正小标宋简体" w:cs="方正小标宋简体"/>
          <w:w w:val="95"/>
          <w:sz w:val="44"/>
          <w:szCs w:val="44"/>
          <w:lang w:val="en-US" w:eastAsia="zh-CN"/>
        </w:rPr>
        <w:t>3</w:t>
      </w:r>
      <w:r>
        <w:rPr>
          <w:rFonts w:hint="eastAsia" w:ascii="方正小标宋简体" w:hAnsi="方正小标宋简体" w:eastAsia="方正小标宋简体" w:cs="方正小标宋简体"/>
          <w:w w:val="95"/>
          <w:sz w:val="44"/>
          <w:szCs w:val="44"/>
        </w:rPr>
        <w:t>年国民经济和社会发展统计公报</w:t>
      </w:r>
    </w:p>
    <w:p w14:paraId="7B75F7F5">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方正小标宋简体" w:cs="方正小标宋简体"/>
          <w:sz w:val="28"/>
          <w:szCs w:val="28"/>
        </w:rPr>
      </w:pPr>
    </w:p>
    <w:p w14:paraId="3E21A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是全面贯彻落实党的二十大精神的开局之年。一年来，面对严峻、复杂、多变的经济发展形势，在市委、市政府的坚强领导下，全市上下坚持以习近平新时代中国特色社会主义思想为指导，全面贯彻落实党的二十大和二十届二中全会精神，按照省第十二次党代会总体部署和市第六次党代会工作安排，坚持稳中求进总基调，聚焦高质量发展，统筹发展和安全，切实抓好强信心、稳增长、防风险、推改革、惠民生等工作，经济运行稳定向好、稳中提质，武汉都市圈自然生态公园城市建设取得新进展、新突破。</w:t>
      </w:r>
    </w:p>
    <w:p w14:paraId="5C526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一、综合</w:t>
      </w:r>
    </w:p>
    <w:p w14:paraId="2939A9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初步</w:t>
      </w:r>
      <w:r>
        <w:rPr>
          <w:rFonts w:hint="eastAsia" w:ascii="仿宋_GB2312" w:hAnsi="仿宋_GB2312" w:eastAsia="仿宋_GB2312" w:cs="仿宋_GB2312"/>
          <w:color w:val="auto"/>
          <w:sz w:val="32"/>
          <w:szCs w:val="32"/>
          <w:lang w:eastAsia="zh-CN"/>
        </w:rPr>
        <w:t>核算，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年完成</w:t>
      </w:r>
      <w:r>
        <w:rPr>
          <w:rFonts w:hint="eastAsia" w:ascii="仿宋_GB2312" w:hAnsi="仿宋_GB2312" w:eastAsia="仿宋_GB2312" w:cs="仿宋_GB2312"/>
          <w:color w:val="auto"/>
          <w:sz w:val="32"/>
          <w:szCs w:val="32"/>
          <w:lang w:eastAsia="zh-CN"/>
        </w:rPr>
        <w:t>地区</w:t>
      </w:r>
      <w:r>
        <w:rPr>
          <w:rFonts w:hint="eastAsia" w:ascii="仿宋_GB2312" w:hAnsi="仿宋_GB2312" w:eastAsia="仿宋_GB2312" w:cs="仿宋_GB2312"/>
          <w:color w:val="auto"/>
          <w:sz w:val="32"/>
          <w:szCs w:val="32"/>
        </w:rPr>
        <w:t>生产总值</w:t>
      </w:r>
      <w:r>
        <w:rPr>
          <w:rFonts w:hint="eastAsia" w:ascii="仿宋_GB2312" w:hAnsi="仿宋_GB2312" w:eastAsia="仿宋_GB2312" w:cs="仿宋_GB2312"/>
          <w:color w:val="auto"/>
          <w:sz w:val="32"/>
          <w:szCs w:val="32"/>
          <w:lang w:val="en-US" w:eastAsia="zh-CN"/>
        </w:rPr>
        <w:t>1819.23</w:t>
      </w:r>
      <w:r>
        <w:rPr>
          <w:rFonts w:hint="eastAsia" w:ascii="仿宋_GB2312" w:hAnsi="仿宋_GB2312" w:eastAsia="仿宋_GB2312" w:cs="仿宋_GB2312"/>
          <w:color w:val="auto"/>
          <w:sz w:val="32"/>
          <w:szCs w:val="32"/>
        </w:rPr>
        <w:t>亿元，按不变价计算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比上年</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第一产业增加值</w:t>
      </w:r>
      <w:r>
        <w:rPr>
          <w:rFonts w:hint="eastAsia" w:ascii="仿宋_GB2312" w:hAnsi="仿宋_GB2312" w:eastAsia="仿宋_GB2312" w:cs="仿宋_GB2312"/>
          <w:color w:val="auto"/>
          <w:sz w:val="32"/>
          <w:szCs w:val="32"/>
          <w:lang w:val="en-US" w:eastAsia="zh-CN"/>
        </w:rPr>
        <w:t>257.73</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%；第二产业增加值</w:t>
      </w:r>
      <w:r>
        <w:rPr>
          <w:rFonts w:hint="eastAsia" w:ascii="仿宋_GB2312" w:hAnsi="仿宋_GB2312" w:eastAsia="仿宋_GB2312" w:cs="仿宋_GB2312"/>
          <w:color w:val="auto"/>
          <w:sz w:val="32"/>
          <w:szCs w:val="32"/>
          <w:lang w:val="en-US" w:eastAsia="zh-CN"/>
        </w:rPr>
        <w:t>594.57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%；第三产业增加值</w:t>
      </w:r>
      <w:r>
        <w:rPr>
          <w:rFonts w:hint="eastAsia" w:ascii="仿宋_GB2312" w:hAnsi="仿宋_GB2312" w:eastAsia="仿宋_GB2312" w:cs="仿宋_GB2312"/>
          <w:color w:val="auto"/>
          <w:sz w:val="32"/>
          <w:szCs w:val="32"/>
          <w:lang w:val="en-US" w:eastAsia="zh-CN"/>
        </w:rPr>
        <w:t>966.93</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rPr>
        <w:t>%，三次产业结构比为</w:t>
      </w:r>
      <w:r>
        <w:rPr>
          <w:rFonts w:hint="eastAsia" w:ascii="仿宋_GB2312" w:hAnsi="仿宋_GB2312" w:eastAsia="仿宋_GB2312" w:cs="仿宋_GB2312"/>
          <w:color w:val="auto"/>
          <w:sz w:val="32"/>
          <w:szCs w:val="32"/>
          <w:lang w:val="en-US" w:eastAsia="zh-CN"/>
        </w:rPr>
        <w:t>14.2:32.7:53.1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eastAsia="zh-CN"/>
        </w:rPr>
        <w:t>全年人均地区生产总值</w:t>
      </w:r>
      <w:r>
        <w:rPr>
          <w:rFonts w:hint="eastAsia" w:ascii="仿宋_GB2312" w:hAnsi="仿宋_GB2312" w:eastAsia="仿宋_GB2312" w:cs="仿宋_GB2312"/>
          <w:color w:val="auto"/>
          <w:sz w:val="32"/>
          <w:szCs w:val="32"/>
          <w:lang w:val="en-US" w:eastAsia="zh-CN"/>
        </w:rPr>
        <w:t>69634元。</w:t>
      </w:r>
    </w:p>
    <w:p w14:paraId="021D0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auto"/>
          <w:sz w:val="32"/>
          <w:szCs w:val="32"/>
        </w:rPr>
        <w:t>境内幕阜山绿色产业带（通城县、崇阳县、通山县）地区生产总值</w:t>
      </w:r>
      <w:r>
        <w:rPr>
          <w:rFonts w:hint="eastAsia" w:ascii="仿宋_GB2312" w:hAnsi="仿宋_GB2312" w:eastAsia="仿宋_GB2312" w:cs="仿宋_GB2312"/>
          <w:color w:val="auto"/>
          <w:sz w:val="32"/>
          <w:szCs w:val="32"/>
          <w:lang w:val="en-US" w:eastAsia="zh-CN"/>
        </w:rPr>
        <w:t>555.51</w:t>
      </w:r>
      <w:r>
        <w:rPr>
          <w:rFonts w:hint="eastAsia" w:ascii="仿宋_GB2312" w:hAnsi="仿宋_GB2312" w:eastAsia="仿宋_GB2312" w:cs="仿宋_GB2312"/>
          <w:color w:val="auto"/>
          <w:sz w:val="32"/>
          <w:szCs w:val="32"/>
        </w:rPr>
        <w:t>亿元，比上年</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境内长江经济带地区（咸安区、嘉鱼县、赤壁市）生产总值</w:t>
      </w:r>
      <w:r>
        <w:rPr>
          <w:rFonts w:hint="eastAsia" w:ascii="仿宋_GB2312" w:hAnsi="仿宋_GB2312" w:eastAsia="仿宋_GB2312" w:cs="仿宋_GB2312"/>
          <w:color w:val="auto"/>
          <w:sz w:val="32"/>
          <w:szCs w:val="32"/>
          <w:lang w:val="en-US" w:eastAsia="zh-CN"/>
        </w:rPr>
        <w:t>1263.73</w:t>
      </w:r>
      <w:r>
        <w:rPr>
          <w:rFonts w:hint="eastAsia" w:ascii="仿宋_GB2312" w:hAnsi="仿宋_GB2312" w:eastAsia="仿宋_GB2312" w:cs="仿宋_GB2312"/>
          <w:color w:val="auto"/>
          <w:sz w:val="32"/>
          <w:szCs w:val="32"/>
        </w:rPr>
        <w:t>亿元，比上年</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0.6</w:t>
      </w:r>
      <w:r>
        <w:rPr>
          <w:rFonts w:hint="eastAsia" w:ascii="仿宋_GB2312" w:hAnsi="仿宋_GB2312" w:eastAsia="仿宋_GB2312" w:cs="仿宋_GB2312"/>
          <w:color w:val="auto"/>
          <w:sz w:val="32"/>
          <w:szCs w:val="32"/>
        </w:rPr>
        <w:t>%。</w:t>
      </w:r>
    </w:p>
    <w:p w14:paraId="4C9BF0AF">
      <w:pPr>
        <w:pStyle w:val="2"/>
        <w:jc w:val="center"/>
        <w:rPr>
          <w:rFonts w:hint="eastAsia" w:ascii="Times New Roman" w:hAnsi="Times New Roman" w:eastAsia="黑体" w:cs="黑体"/>
          <w:b w:val="0"/>
          <w:bCs w:val="0"/>
          <w:sz w:val="28"/>
          <w:szCs w:val="28"/>
          <w:lang w:eastAsia="zh-CN"/>
        </w:rPr>
      </w:pPr>
      <w:r>
        <w:rPr>
          <w:rFonts w:hint="eastAsia" w:ascii="黑体" w:hAnsi="黑体" w:eastAsia="黑体" w:cs="黑体"/>
          <w:b w:val="0"/>
          <w:bCs w:val="0"/>
          <w:sz w:val="28"/>
          <w:szCs w:val="28"/>
          <w:lang w:eastAsia="zh-CN"/>
        </w:rPr>
        <w:t>图</w:t>
      </w:r>
      <w:r>
        <w:rPr>
          <w:rFonts w:hint="eastAsia" w:ascii="黑体" w:hAnsi="黑体" w:eastAsia="黑体" w:cs="黑体"/>
          <w:b w:val="0"/>
          <w:bCs w:val="0"/>
          <w:sz w:val="28"/>
          <w:szCs w:val="28"/>
          <w:lang w:val="en-US" w:eastAsia="zh-CN"/>
        </w:rPr>
        <w:t xml:space="preserve">1  </w:t>
      </w:r>
      <w:r>
        <w:rPr>
          <w:rFonts w:hint="eastAsia" w:ascii="黑体" w:hAnsi="黑体" w:eastAsia="黑体" w:cs="黑体"/>
          <w:b w:val="0"/>
          <w:bCs w:val="0"/>
          <w:sz w:val="28"/>
          <w:szCs w:val="28"/>
          <w:lang w:eastAsia="zh-CN"/>
        </w:rPr>
        <w:t>201</w:t>
      </w: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lang w:eastAsia="zh-CN"/>
        </w:rPr>
        <w:t>-202</w:t>
      </w:r>
      <w:r>
        <w:rPr>
          <w:rFonts w:hint="eastAsia" w:ascii="黑体" w:hAnsi="黑体" w:eastAsia="黑体" w:cs="黑体"/>
          <w:b w:val="0"/>
          <w:bCs w:val="0"/>
          <w:sz w:val="28"/>
          <w:szCs w:val="28"/>
          <w:lang w:val="en-US" w:eastAsia="zh-CN"/>
        </w:rPr>
        <w:t>3</w:t>
      </w:r>
      <w:r>
        <w:rPr>
          <w:rFonts w:hint="eastAsia" w:ascii="黑体" w:hAnsi="黑体" w:eastAsia="黑体" w:cs="黑体"/>
          <w:b w:val="0"/>
          <w:bCs w:val="0"/>
          <w:sz w:val="28"/>
          <w:szCs w:val="28"/>
          <w:lang w:eastAsia="zh-CN"/>
        </w:rPr>
        <w:t>年全市生产总值及其增速</w:t>
      </w:r>
    </w:p>
    <w:p w14:paraId="50B19284">
      <w:pPr>
        <w:pStyle w:val="2"/>
        <w:jc w:val="center"/>
        <w:rPr>
          <w:rFonts w:hint="eastAsia" w:ascii="Times New Roman" w:hAnsi="Times New Roman"/>
        </w:rPr>
      </w:pPr>
      <w:r>
        <w:rPr>
          <w:rFonts w:ascii="Times New Roman" w:hAnsi="Times New Roman"/>
        </w:rPr>
        <w:drawing>
          <wp:inline distT="0" distB="0" distL="114300" distR="114300">
            <wp:extent cx="5544185" cy="39008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44185" cy="3900805"/>
                    </a:xfrm>
                    <a:prstGeom prst="rect">
                      <a:avLst/>
                    </a:prstGeom>
                    <a:noFill/>
                    <a:ln>
                      <a:noFill/>
                    </a:ln>
                  </pic:spPr>
                </pic:pic>
              </a:graphicData>
            </a:graphic>
          </wp:inline>
        </w:drawing>
      </w:r>
    </w:p>
    <w:p w14:paraId="44009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居民消费价格比上年上涨0.2%。分类别看，八大类商品“五涨三降”。其中，其他用品及服务、教育文化娱乐、衣着、生活用品及服务、食品烟酒分别上涨2.7%、1.8%、1.8%、1.1%、0.7%，交通通信、居住、医疗保健分别下降1.7%、0.8%、0.7%。服务项目价格指数上涨</w:t>
      </w:r>
      <w:r>
        <w:rPr>
          <w:rFonts w:hint="eastAsia" w:ascii="仿宋_GB2312" w:hAnsi="仿宋_GB2312" w:eastAsia="仿宋_GB2312" w:cs="仿宋_GB2312"/>
          <w:color w:val="FF0000"/>
          <w:sz w:val="32"/>
          <w:szCs w:val="32"/>
          <w:lang w:val="en-US" w:eastAsia="zh-CN"/>
        </w:rPr>
        <w:t>0.8%</w:t>
      </w:r>
      <w:r>
        <w:rPr>
          <w:rFonts w:hint="eastAsia" w:ascii="仿宋_GB2312" w:hAnsi="仿宋_GB2312" w:eastAsia="仿宋_GB2312" w:cs="仿宋_GB2312"/>
          <w:color w:val="auto"/>
          <w:sz w:val="32"/>
          <w:szCs w:val="32"/>
          <w:lang w:val="en-US" w:eastAsia="zh-CN"/>
        </w:rPr>
        <w:t>。</w:t>
      </w:r>
    </w:p>
    <w:p w14:paraId="0961F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年末各类市场主体36.05万户，比上年增长6.1%。其中，企业类市场主体7.58万户，增长4.9%。全年新登记市场主体4.83万户。</w:t>
      </w:r>
    </w:p>
    <w:p w14:paraId="239C46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全年城镇新增就业人员4.93万人，比上年增加0.67万人。城镇登记失业率2.32%，比上年末降低0.55个百分点。</w:t>
      </w:r>
    </w:p>
    <w:p w14:paraId="264C0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二、农业</w:t>
      </w:r>
    </w:p>
    <w:p w14:paraId="1B283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农林牧渔业增加值276.36亿元，比上年增长4.8%。全年农作物播种面积452.99千公顷，增长0.6%。其中，粮食作物面积198.94千公顷，增长0.6%；经济作物面积254.04千公顷，增长0.6%。经济作物中，油菜籽面积95.21千公顷，增长1.1%；年末茶园面积35.42千公顷，增长1.5%；中药材面积17.05千公顷，下降0.6%；蔬菜及食用菌面积98.09千公顷，增长1.8%。</w:t>
      </w:r>
    </w:p>
    <w:p w14:paraId="14681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全年粮食产量120.82万吨，比上年增长1.8%。其中，夏粮3.95万吨，早稻14.67万吨，秋粮102.21万吨。</w:t>
      </w:r>
    </w:p>
    <w:p w14:paraId="12FA74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全年蔬菜及食用菌产量261.91万吨，比上年增长1.7%；油料产量</w:t>
      </w:r>
      <w:r>
        <w:rPr>
          <w:rFonts w:hint="eastAsia" w:ascii="仿宋_GB2312" w:hAnsi="仿宋_GB2312" w:eastAsia="仿宋_GB2312" w:cs="仿宋_GB2312"/>
          <w:color w:val="auto"/>
          <w:sz w:val="32"/>
          <w:szCs w:val="32"/>
          <w:highlight w:val="none"/>
          <w:lang w:val="en-US" w:eastAsia="zh-CN"/>
        </w:rPr>
        <w:t>20.32万吨，下降3.7%；</w:t>
      </w:r>
      <w:r>
        <w:rPr>
          <w:rFonts w:hint="eastAsia" w:ascii="仿宋_GB2312" w:hAnsi="仿宋_GB2312" w:eastAsia="仿宋_GB2312" w:cs="仿宋_GB2312"/>
          <w:color w:val="auto"/>
          <w:sz w:val="32"/>
          <w:szCs w:val="32"/>
          <w:lang w:val="en-US" w:eastAsia="zh-CN"/>
        </w:rPr>
        <w:t>茶叶产量9.43万吨，增长5.3%；油茶籽产量8.88万吨，增长3.3%。</w:t>
      </w:r>
    </w:p>
    <w:p w14:paraId="7EA6C689">
      <w:pPr>
        <w:pStyle w:val="2"/>
        <w:jc w:val="center"/>
        <w:rPr>
          <w:rFonts w:hint="eastAsia" w:ascii="Times New Roman" w:hAnsi="Times New Roman" w:eastAsia="黑体" w:cs="黑体"/>
          <w:b w:val="0"/>
          <w:bCs w:val="0"/>
          <w:sz w:val="28"/>
          <w:szCs w:val="28"/>
          <w:lang w:eastAsia="zh-CN"/>
        </w:rPr>
      </w:pPr>
      <w:r>
        <w:rPr>
          <w:rFonts w:hint="eastAsia" w:ascii="黑体" w:hAnsi="黑体" w:eastAsia="黑体" w:cs="黑体"/>
          <w:b w:val="0"/>
          <w:bCs w:val="0"/>
          <w:sz w:val="28"/>
          <w:szCs w:val="28"/>
          <w:lang w:eastAsia="zh-CN"/>
        </w:rPr>
        <w:t>图2  201</w:t>
      </w: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lang w:eastAsia="zh-CN"/>
        </w:rPr>
        <w:t>-20</w:t>
      </w:r>
      <w:r>
        <w:rPr>
          <w:rFonts w:hint="eastAsia" w:ascii="黑体" w:hAnsi="黑体" w:eastAsia="黑体" w:cs="黑体"/>
          <w:b w:val="0"/>
          <w:bCs w:val="0"/>
          <w:sz w:val="28"/>
          <w:szCs w:val="28"/>
          <w:lang w:val="en-US" w:eastAsia="zh-CN"/>
        </w:rPr>
        <w:t>23</w:t>
      </w:r>
      <w:r>
        <w:rPr>
          <w:rFonts w:hint="eastAsia" w:ascii="黑体" w:hAnsi="黑体" w:eastAsia="黑体" w:cs="黑体"/>
          <w:b w:val="0"/>
          <w:bCs w:val="0"/>
          <w:sz w:val="28"/>
          <w:szCs w:val="28"/>
          <w:lang w:eastAsia="zh-CN"/>
        </w:rPr>
        <w:t>年全市粮食产量</w:t>
      </w:r>
    </w:p>
    <w:p w14:paraId="6646964C">
      <w:pPr>
        <w:pStyle w:val="3"/>
        <w:jc w:val="center"/>
        <w:rPr>
          <w:rFonts w:hint="eastAsia" w:ascii="Times New Roman" w:hAnsi="Times New Roman"/>
          <w:lang w:eastAsia="zh-CN"/>
        </w:rPr>
      </w:pPr>
      <w:r>
        <w:rPr>
          <w:rFonts w:ascii="Times New Roman" w:hAnsi="Times New Roman"/>
        </w:rPr>
        <w:drawing>
          <wp:inline distT="0" distB="0" distL="114300" distR="114300">
            <wp:extent cx="5539105" cy="3076575"/>
            <wp:effectExtent l="0" t="0" r="0" b="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04C8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全年猪牛羊禽肉总产量</w:t>
      </w:r>
      <w:r>
        <w:rPr>
          <w:rFonts w:hint="eastAsia" w:ascii="仿宋_GB2312" w:hAnsi="仿宋_GB2312" w:eastAsia="仿宋_GB2312" w:cs="仿宋_GB2312"/>
          <w:color w:val="auto"/>
          <w:sz w:val="32"/>
          <w:szCs w:val="32"/>
          <w:highlight w:val="none"/>
          <w:lang w:val="en-US" w:eastAsia="zh-CN"/>
        </w:rPr>
        <w:t>24.72万吨，比上年增长4.5%。其中，猪肉产量19.42万吨，增长5.0%</w:t>
      </w:r>
      <w:r>
        <w:rPr>
          <w:rFonts w:hint="eastAsia" w:ascii="仿宋_GB2312" w:hAnsi="仿宋_GB2312" w:eastAsia="仿宋_GB2312" w:cs="仿宋_GB2312"/>
          <w:color w:val="auto"/>
          <w:sz w:val="32"/>
          <w:szCs w:val="32"/>
          <w:lang w:val="en-US" w:eastAsia="zh-CN"/>
        </w:rPr>
        <w:t>；牛肉产量0.28万吨，增长</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lang w:val="en-US" w:eastAsia="zh-CN"/>
        </w:rPr>
        <w:t>；羊肉产量0.36万吨，</w:t>
      </w:r>
      <w:r>
        <w:rPr>
          <w:rFonts w:hint="eastAsia" w:ascii="仿宋_GB2312" w:hAnsi="仿宋_GB2312" w:eastAsia="仿宋_GB2312" w:cs="仿宋_GB2312"/>
          <w:color w:val="auto"/>
          <w:sz w:val="32"/>
          <w:szCs w:val="32"/>
          <w:highlight w:val="none"/>
          <w:lang w:val="en-US" w:eastAsia="zh-CN"/>
        </w:rPr>
        <w:t>增长5.0%</w:t>
      </w:r>
      <w:r>
        <w:rPr>
          <w:rFonts w:hint="eastAsia" w:ascii="仿宋_GB2312" w:hAnsi="仿宋_GB2312" w:eastAsia="仿宋_GB2312" w:cs="仿宋_GB2312"/>
          <w:color w:val="auto"/>
          <w:sz w:val="32"/>
          <w:szCs w:val="32"/>
          <w:lang w:val="en-US" w:eastAsia="zh-CN"/>
        </w:rPr>
        <w:t>；禽肉产量4.66万吨，增长2.0%。禽蛋产量6.30万吨，增长4.5%。全年生猪出栏248.71万头，增长4.0%；家禽出笼3495.08万只，增长2.0%。</w:t>
      </w:r>
    </w:p>
    <w:p w14:paraId="3D674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全年水产品产量25.34万吨，比上年增长4.5%。</w:t>
      </w:r>
    </w:p>
    <w:p w14:paraId="2524D254">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三、工业和建筑业</w:t>
      </w:r>
    </w:p>
    <w:p w14:paraId="6DE13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全年全部工业增加值492.49亿元，年末规模以上工业企业达到1067家，比上年净增44家。</w:t>
      </w:r>
    </w:p>
    <w:p w14:paraId="492A5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全年规模以上工业企业产销率为96.5%，实现营业收入1522.36亿元，利润总额90.18亿元。</w:t>
      </w:r>
    </w:p>
    <w:p w14:paraId="2FB2E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全年高新技术产业增加值243.46亿元，占GDP比重为13.4%。其中，规模以上高新技术产业增加值242.38亿元。</w:t>
      </w:r>
    </w:p>
    <w:p w14:paraId="7E8D8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全年资质以内建筑业企业288家，比上年增加26家；建筑业增加值102.28亿元，增长0.8%。</w:t>
      </w:r>
    </w:p>
    <w:p w14:paraId="1DBE0747">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固定资产投资</w:t>
      </w:r>
    </w:p>
    <w:p w14:paraId="37A0E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完成固定资产投资（不含农户）（以下简称投资）比上年增长2.9%。按产业分，第一、第二产业投资分别下降3.6%和8.6%，第三产业增长11.6%。按投资主体分，国有投资增长4.8%，民间投资下降4.9%。按建设性质分，新建、扩建投资分别增长9.1%、34.4%，改建和技术改造下降29.0%。</w:t>
      </w:r>
    </w:p>
    <w:p w14:paraId="64BAA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全年施工项目1280个，比上年下降22.7%。其中，十亿元以上项目46个，完成投资额增长9.8%。</w:t>
      </w:r>
    </w:p>
    <w:p w14:paraId="2E972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全年商品房施工面积1473.54万平方米，比上年下降7.0%；商品房销售面积260.99万平方米，下降21.3%；商品房销售额119.82亿元，下降17.7%。</w:t>
      </w:r>
    </w:p>
    <w:p w14:paraId="03F329BD">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黑体" w:cs="Times New Roman"/>
          <w:color w:val="FF0000"/>
          <w:sz w:val="32"/>
          <w:szCs w:val="32"/>
        </w:rPr>
      </w:pPr>
      <w:r>
        <w:rPr>
          <w:rFonts w:ascii="Times New Roman" w:hAnsi="Times New Roman" w:eastAsia="黑体" w:cs="Times New Roman"/>
          <w:sz w:val="32"/>
          <w:szCs w:val="32"/>
        </w:rPr>
        <w:t>五、国内贸易</w:t>
      </w:r>
    </w:p>
    <w:p w14:paraId="0D2A2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全年社会消费品零售额875.32亿元，比上年增长7.8%。其中，城镇消费品零售额589.33亿元，增长8.2%；乡村消费品零售额285.99亿元，增长6.8%。</w:t>
      </w:r>
    </w:p>
    <w:p w14:paraId="04E485F9">
      <w:pPr>
        <w:pStyle w:val="2"/>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黑体"/>
          <w:color w:val="auto"/>
          <w:sz w:val="28"/>
          <w:szCs w:val="28"/>
          <w:lang w:eastAsia="zh-CN"/>
        </w:rPr>
      </w:pPr>
      <w:r>
        <w:rPr>
          <w:rFonts w:hint="eastAsia" w:ascii="黑体" w:hAnsi="黑体" w:eastAsia="黑体" w:cs="黑体"/>
          <w:color w:val="auto"/>
          <w:sz w:val="28"/>
          <w:szCs w:val="28"/>
        </w:rPr>
        <w:t>图3  201</w:t>
      </w:r>
      <w:r>
        <w:rPr>
          <w:rFonts w:hint="eastAsia" w:ascii="黑体" w:hAnsi="黑体" w:eastAsia="黑体" w:cs="黑体"/>
          <w:color w:val="auto"/>
          <w:sz w:val="28"/>
          <w:szCs w:val="28"/>
          <w:lang w:val="en-US" w:eastAsia="zh-CN"/>
        </w:rPr>
        <w:t>9</w:t>
      </w:r>
      <w:r>
        <w:rPr>
          <w:rFonts w:hint="eastAsia" w:ascii="黑体" w:hAnsi="黑体" w:eastAsia="黑体" w:cs="黑体"/>
          <w:color w:val="auto"/>
          <w:sz w:val="28"/>
          <w:szCs w:val="28"/>
        </w:rPr>
        <w:t>-202</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rPr>
        <w:t>年全市社会消费品零售总额</w:t>
      </w:r>
      <w:r>
        <w:rPr>
          <w:rFonts w:hint="eastAsia" w:ascii="黑体" w:hAnsi="黑体" w:eastAsia="黑体" w:cs="黑体"/>
          <w:color w:val="auto"/>
          <w:sz w:val="28"/>
          <w:szCs w:val="28"/>
          <w:lang w:eastAsia="zh-CN"/>
        </w:rPr>
        <w:t>及其增速</w:t>
      </w:r>
    </w:p>
    <w:p w14:paraId="41759702">
      <w:pPr>
        <w:rPr>
          <w:rFonts w:ascii="Times New Roman" w:hAnsi="Times New Roman"/>
          <w:color w:val="auto"/>
        </w:rPr>
      </w:pPr>
      <w:r>
        <w:rPr>
          <w:rFonts w:ascii="Times New Roman" w:hAnsi="Times New Roman"/>
        </w:rPr>
        <w:drawing>
          <wp:inline distT="0" distB="0" distL="114300" distR="114300">
            <wp:extent cx="5539740" cy="3789680"/>
            <wp:effectExtent l="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95E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全年限额以上商品零售额161.80亿元，比上年增长2.7%。其中，通过公共网络实现的商品零售额9.33亿元，增长13.7%。</w:t>
      </w:r>
    </w:p>
    <w:p w14:paraId="371666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六、对外经济</w:t>
      </w:r>
    </w:p>
    <w:p w14:paraId="3BD52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全年进出口总额123.75亿元，比上年增长1.3%。其中，进口8.29亿元，下降3.8%；出口115.46亿元，增长1.7%。</w:t>
      </w:r>
    </w:p>
    <w:p w14:paraId="0078FA49">
      <w:pPr>
        <w:pStyle w:val="2"/>
        <w:jc w:val="center"/>
        <w:rPr>
          <w:rFonts w:hint="eastAsia" w:ascii="Times New Roman" w:hAnsi="Times New Roman"/>
          <w:sz w:val="28"/>
          <w:szCs w:val="28"/>
          <w:lang w:eastAsia="zh-CN"/>
        </w:rPr>
      </w:pPr>
      <w:r>
        <w:rPr>
          <w:rFonts w:hint="eastAsia" w:ascii="黑体" w:hAnsi="黑体" w:eastAsia="黑体" w:cs="黑体"/>
          <w:sz w:val="28"/>
          <w:szCs w:val="28"/>
        </w:rPr>
        <w:t>图</w:t>
      </w:r>
      <w:r>
        <w:rPr>
          <w:rFonts w:hint="eastAsia" w:ascii="黑体" w:hAnsi="黑体" w:eastAsia="黑体" w:cs="黑体"/>
          <w:sz w:val="28"/>
          <w:szCs w:val="28"/>
          <w:lang w:val="en-US" w:eastAsia="zh-CN"/>
        </w:rPr>
        <w:t>4</w:t>
      </w:r>
      <w:r>
        <w:rPr>
          <w:rFonts w:hint="eastAsia" w:ascii="黑体" w:hAnsi="黑体" w:eastAsia="黑体" w:cs="黑体"/>
          <w:sz w:val="28"/>
          <w:szCs w:val="28"/>
        </w:rPr>
        <w:t xml:space="preserve">  201</w:t>
      </w:r>
      <w:r>
        <w:rPr>
          <w:rFonts w:hint="eastAsia" w:ascii="黑体" w:hAnsi="黑体" w:eastAsia="黑体" w:cs="黑体"/>
          <w:sz w:val="28"/>
          <w:szCs w:val="28"/>
          <w:lang w:val="en-US" w:eastAsia="zh-CN"/>
        </w:rPr>
        <w:t>9</w:t>
      </w:r>
      <w:r>
        <w:rPr>
          <w:rFonts w:hint="eastAsia" w:ascii="黑体" w:hAnsi="黑体" w:eastAsia="黑体" w:cs="黑体"/>
          <w:sz w:val="28"/>
          <w:szCs w:val="28"/>
        </w:rPr>
        <w:t>-202</w:t>
      </w:r>
      <w:r>
        <w:rPr>
          <w:rFonts w:hint="eastAsia" w:ascii="黑体" w:hAnsi="黑体" w:eastAsia="黑体" w:cs="黑体"/>
          <w:sz w:val="28"/>
          <w:szCs w:val="28"/>
          <w:lang w:val="en-US" w:eastAsia="zh-CN"/>
        </w:rPr>
        <w:t>3</w:t>
      </w:r>
      <w:r>
        <w:rPr>
          <w:rFonts w:hint="eastAsia" w:ascii="黑体" w:hAnsi="黑体" w:eastAsia="黑体" w:cs="黑体"/>
          <w:sz w:val="28"/>
          <w:szCs w:val="28"/>
        </w:rPr>
        <w:t>年全市货物进出口总额</w:t>
      </w:r>
    </w:p>
    <w:p w14:paraId="736E9BE2">
      <w:pPr>
        <w:jc w:val="center"/>
        <w:rPr>
          <w:rFonts w:hint="eastAsia" w:ascii="Times New Roman" w:hAnsi="Times New Roman"/>
          <w:lang w:eastAsia="zh-CN"/>
        </w:rPr>
      </w:pPr>
      <w:r>
        <w:rPr>
          <w:rFonts w:ascii="Times New Roman" w:hAnsi="Times New Roman"/>
        </w:rPr>
        <w:drawing>
          <wp:inline distT="0" distB="0" distL="114300" distR="114300">
            <wp:extent cx="5209540" cy="3482975"/>
            <wp:effectExtent l="0" t="0" r="0" b="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9E7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全年新设立外商直接投资企业16家。实际利用外资（FDI）8930万美元，比上年增长46.5%。</w:t>
      </w:r>
    </w:p>
    <w:p w14:paraId="2F9F16E9">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七、交通、邮电</w:t>
      </w:r>
    </w:p>
    <w:p w14:paraId="1890E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年末公路通车里程17391.84公里，比上年末增长2.9%。全年完成货物周转量61.36亿吨公里，增长16.9%；客运周转量5.28亿人公里，增长16.9%。</w:t>
      </w:r>
    </w:p>
    <w:p w14:paraId="32947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年末民用汽车保有量34.11万辆。其中，私人汽车</w:t>
      </w:r>
      <w:r>
        <w:rPr>
          <w:rFonts w:hint="eastAsia" w:ascii="仿宋_GB2312" w:hAnsi="仿宋_GB2312" w:eastAsia="仿宋_GB2312" w:cs="仿宋_GB2312"/>
          <w:color w:val="FF0000"/>
          <w:sz w:val="32"/>
          <w:szCs w:val="32"/>
          <w:lang w:val="en-US" w:eastAsia="zh-CN"/>
        </w:rPr>
        <w:t>31.78</w:t>
      </w:r>
      <w:r>
        <w:rPr>
          <w:rFonts w:hint="eastAsia" w:ascii="仿宋_GB2312" w:hAnsi="仿宋_GB2312" w:eastAsia="仿宋_GB2312" w:cs="仿宋_GB2312"/>
          <w:color w:val="auto"/>
          <w:sz w:val="32"/>
          <w:szCs w:val="32"/>
          <w:lang w:val="en-US" w:eastAsia="zh-CN"/>
        </w:rPr>
        <w:t>万辆。新能源汽车1.59万辆，比上年末增长68.6%。</w:t>
      </w:r>
    </w:p>
    <w:p w14:paraId="2FC07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全年完成邮政行业业务总量15.89亿元，比上年增长48.8%。邮政行业业务收入（不包括邮政储蓄银行直接营业收入）12.39亿元，增长25.7%。其中，快递业务收入6.85亿元，增长41.5%。</w:t>
      </w:r>
    </w:p>
    <w:p w14:paraId="6724D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全年完成电信业务总量23.12亿元，比上年增长5.4%。年末固定电话用户26.12万户，下降2.2%；移动电话用户270.44万户，增长5.8%。互联网宽带接入用户122.23万户，增长9.6%；移动互联网用户接入流量2.06亿GB，增长15.1%。</w:t>
      </w:r>
    </w:p>
    <w:p w14:paraId="7092236C">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八、财政和金融</w:t>
      </w:r>
    </w:p>
    <w:p w14:paraId="0E83AA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全年完成地方财政总收入169.82亿元，比上年增长11.4%。其中，地方一般公共预算收入106.97亿元，增长11.4%。地方一般公共预算支出315.57亿元，增长3.6%。</w:t>
      </w:r>
    </w:p>
    <w:p w14:paraId="5F7657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金融机构本外币存款余额2337.52亿元，比年初增加199.97亿元。其中，住户存款1722.52亿元，增加228.23亿元。本外币贷款余额1893.07亿元，比年初增加229.96亿元。其中，住户贷款681.32亿元，增加50.75亿元；非金融企业及机关团体贷款1211.63亿元，增加179.19亿元。</w:t>
      </w:r>
    </w:p>
    <w:p w14:paraId="3F033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实现保费收入55.94亿元，比上年增长5.3%。其中，财产保险保费收入16.86亿元，增长9.3%；人身保险保费收入39.08亿元，增长3.6%。各项赔款和给付金额23.18亿元，赔付率41.4%。其中，财产保险赔付12.88亿元，赔付率76.4%；人身保险赔付10.30亿元，赔付率26.4%。保险深度3.1%。</w:t>
      </w:r>
    </w:p>
    <w:p w14:paraId="630AE9FC">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Times New Roman" w:hAnsi="Times New Roman" w:eastAsia="黑体" w:cs="黑体"/>
          <w:sz w:val="30"/>
          <w:szCs w:val="30"/>
        </w:rPr>
      </w:pPr>
      <w:r>
        <w:rPr>
          <w:rFonts w:hint="eastAsia" w:ascii="Times New Roman" w:hAnsi="Times New Roman" w:eastAsia="黑体" w:cs="黑体"/>
          <w:sz w:val="32"/>
          <w:szCs w:val="32"/>
        </w:rPr>
        <w:t>九、</w:t>
      </w:r>
      <w:r>
        <w:rPr>
          <w:rFonts w:hint="eastAsia" w:ascii="Times New Roman" w:hAnsi="Times New Roman" w:eastAsia="黑体" w:cs="黑体"/>
          <w:color w:val="000000" w:themeColor="text1"/>
          <w:sz w:val="32"/>
          <w:szCs w:val="32"/>
          <w14:textFill>
            <w14:solidFill>
              <w14:schemeClr w14:val="tx1"/>
            </w14:solidFill>
          </w14:textFill>
        </w:rPr>
        <w:t>人口、人民生活</w:t>
      </w:r>
      <w:r>
        <w:rPr>
          <w:rFonts w:hint="eastAsia" w:ascii="Times New Roman" w:hAnsi="Times New Roman" w:eastAsia="黑体" w:cs="黑体"/>
          <w:sz w:val="32"/>
          <w:szCs w:val="32"/>
        </w:rPr>
        <w:t>和社会保障</w:t>
      </w:r>
    </w:p>
    <w:p w14:paraId="74FB3B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年末户籍人口302.82万人，户籍人口出生2.07万人、死亡1.68万人，人口自然增长率1.27‰。常住人口260.84万人，其中，城镇153.50万人，乡村107.34万人，常住人口城镇化率58.85%。</w:t>
      </w:r>
    </w:p>
    <w:p w14:paraId="78B3C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全年城镇常住居民人均可支配收入</w:t>
      </w:r>
      <w:r>
        <w:rPr>
          <w:rFonts w:hint="default" w:ascii="仿宋_GB2312" w:hAnsi="仿宋_GB2312" w:eastAsia="仿宋_GB2312" w:cs="仿宋_GB2312"/>
          <w:color w:val="auto"/>
          <w:sz w:val="32"/>
          <w:szCs w:val="32"/>
          <w:lang w:val="en" w:eastAsia="zh-CN"/>
        </w:rPr>
        <w:t>40361</w:t>
      </w:r>
      <w:r>
        <w:rPr>
          <w:rFonts w:hint="eastAsia" w:ascii="仿宋_GB2312" w:hAnsi="仿宋_GB2312" w:eastAsia="仿宋_GB2312" w:cs="仿宋_GB2312"/>
          <w:color w:val="auto"/>
          <w:sz w:val="32"/>
          <w:szCs w:val="32"/>
          <w:lang w:val="en-US" w:eastAsia="zh-CN"/>
        </w:rPr>
        <w:t>元，比上年增长5.2%。农村常住居民人均可支配收入</w:t>
      </w:r>
      <w:r>
        <w:rPr>
          <w:rFonts w:hint="default" w:ascii="仿宋_GB2312" w:hAnsi="仿宋_GB2312" w:eastAsia="仿宋_GB2312" w:cs="仿宋_GB2312"/>
          <w:color w:val="auto"/>
          <w:sz w:val="32"/>
          <w:szCs w:val="32"/>
          <w:lang w:val="en" w:eastAsia="zh-CN"/>
        </w:rPr>
        <w:t>21609</w:t>
      </w:r>
      <w:r>
        <w:rPr>
          <w:rFonts w:hint="eastAsia" w:ascii="仿宋_GB2312" w:hAnsi="仿宋_GB2312" w:eastAsia="仿宋_GB2312" w:cs="仿宋_GB2312"/>
          <w:color w:val="auto"/>
          <w:sz w:val="32"/>
          <w:szCs w:val="32"/>
          <w:lang w:val="en-US" w:eastAsia="zh-CN"/>
        </w:rPr>
        <w:t>元，增长8.0%。城乡居民收入比为1.87。</w:t>
      </w:r>
    </w:p>
    <w:p w14:paraId="2BDEF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参加城镇职工基本养老保险53.85万人，其中，在职职工33.74万人，离退休人员20.11万人；参加城乡居民基本养老保险130.23万人。参加职工基本医疗保险33.92万人，参加城乡居民基本医疗保险223.23万人，参加工伤保险23.19万人，参加生育保险22.90万人，参加失业保险</w:t>
      </w:r>
      <w:r>
        <w:rPr>
          <w:rFonts w:hint="eastAsia" w:ascii="仿宋_GB2312" w:hAnsi="仿宋_GB2312" w:eastAsia="仿宋_GB2312" w:cs="仿宋_GB2312"/>
          <w:color w:val="FF0000"/>
          <w:sz w:val="32"/>
          <w:szCs w:val="32"/>
          <w:lang w:val="en-US" w:eastAsia="zh-CN"/>
        </w:rPr>
        <w:t>20.56</w:t>
      </w:r>
      <w:r>
        <w:rPr>
          <w:rFonts w:hint="eastAsia" w:ascii="仿宋_GB2312" w:hAnsi="仿宋_GB2312" w:eastAsia="仿宋_GB2312" w:cs="仿宋_GB2312"/>
          <w:color w:val="auto"/>
          <w:sz w:val="32"/>
          <w:szCs w:val="32"/>
          <w:lang w:val="en-US" w:eastAsia="zh-CN"/>
        </w:rPr>
        <w:t>万人。全年累计领取失业保险金人数2.53万人。全年福利彩票销售2.54亿元。</w:t>
      </w:r>
    </w:p>
    <w:p w14:paraId="6C194F8B">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、教育和科学技术</w:t>
      </w:r>
    </w:p>
    <w:p w14:paraId="17182D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普通高等学校招生2.50万人，在校生6.51万人，毕业生1.38万人。中等职业教育（不含技校）招生0.95万人，在校生2.88万人，毕业生0.77万人；普通高中招生2.32万人，在校生6.62万人，毕业生1.98万人；普通初中在校生12.15万人，小学在校生23.26万人，幼儿园在园幼儿8.81万人。</w:t>
      </w:r>
    </w:p>
    <w:p w14:paraId="4E755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全年共登记省、部级以上科技成果135项，其中，基础理论成果35项，应用技术成果95项，软科学研究成果5项。全年专利授权量3526项。其中，发明专利授权275项。签订技术合同3763项，技术合同成交额171.40亿元。</w:t>
      </w:r>
    </w:p>
    <w:p w14:paraId="3328B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年末气象台站6个，卫星云图接收站点数6个，地震台站3个，地震烈度速报点19处。</w:t>
      </w:r>
    </w:p>
    <w:p w14:paraId="6BAA262E">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、文化</w:t>
      </w:r>
      <w:r>
        <w:rPr>
          <w:rFonts w:hint="eastAsia" w:ascii="Times New Roman" w:hAnsi="Times New Roman" w:eastAsia="黑体" w:cs="Times New Roman"/>
          <w:sz w:val="32"/>
          <w:szCs w:val="32"/>
        </w:rPr>
        <w:t>旅游</w:t>
      </w:r>
      <w:r>
        <w:rPr>
          <w:rFonts w:ascii="Times New Roman" w:hAnsi="Times New Roman" w:eastAsia="黑体" w:cs="Times New Roman"/>
          <w:sz w:val="32"/>
          <w:szCs w:val="32"/>
        </w:rPr>
        <w:t>、卫生</w:t>
      </w:r>
      <w:r>
        <w:rPr>
          <w:rFonts w:hint="eastAsia" w:ascii="Times New Roman" w:hAnsi="Times New Roman" w:eastAsia="黑体" w:cs="Times New Roman"/>
          <w:sz w:val="32"/>
          <w:szCs w:val="32"/>
        </w:rPr>
        <w:t>健康</w:t>
      </w:r>
      <w:r>
        <w:rPr>
          <w:rFonts w:ascii="Times New Roman" w:hAnsi="Times New Roman" w:eastAsia="黑体" w:cs="Times New Roman"/>
          <w:sz w:val="32"/>
          <w:szCs w:val="32"/>
        </w:rPr>
        <w:t>和体育</w:t>
      </w:r>
    </w:p>
    <w:p w14:paraId="0EDCA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年末群艺馆、文化馆（站）78个，博物馆</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auto"/>
          <w:sz w:val="32"/>
          <w:szCs w:val="32"/>
          <w:lang w:val="en-US" w:eastAsia="zh-CN"/>
        </w:rPr>
        <w:t>个，公共图书馆7个，香城书房10个，公共图书馆藏书</w:t>
      </w:r>
      <w:bookmarkStart w:id="0" w:name="_GoBack"/>
      <w:r>
        <w:rPr>
          <w:rFonts w:hint="eastAsia" w:ascii="仿宋_GB2312" w:hAnsi="仿宋_GB2312" w:eastAsia="仿宋_GB2312" w:cs="仿宋_GB2312"/>
          <w:color w:val="FF0000"/>
          <w:sz w:val="32"/>
          <w:szCs w:val="32"/>
          <w:lang w:val="en-US" w:eastAsia="zh-CN"/>
        </w:rPr>
        <w:t>329.63</w:t>
      </w:r>
      <w:bookmarkEnd w:id="0"/>
      <w:r>
        <w:rPr>
          <w:rFonts w:hint="eastAsia" w:ascii="仿宋_GB2312" w:hAnsi="仿宋_GB2312" w:eastAsia="仿宋_GB2312" w:cs="仿宋_GB2312"/>
          <w:color w:val="auto"/>
          <w:sz w:val="32"/>
          <w:szCs w:val="32"/>
          <w:lang w:val="en-US" w:eastAsia="zh-CN"/>
        </w:rPr>
        <w:t>万册。广播电视台6座，广播节目综合人口覆盖率100%，电视节目综合人口覆盖率99.99%。档案馆7个，馆藏档案卷宗1248个，全年利用档案人次1.42万人次。规模以上文化及相关产业企业营业收入123.70亿元。</w:t>
      </w:r>
    </w:p>
    <w:p w14:paraId="0D154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年末A级以上旅游景区46个。全年接待旅游人数8156.38万人次，比上年增长21.4%。旅游总收入415.37亿元，增长24.4%。</w:t>
      </w:r>
    </w:p>
    <w:p w14:paraId="2DD6E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卫生机构1484家。其中，医院60家，基层医疗卫生机构1389家，专业公共卫生机构28家；卫生技术人员2.10万人。其中，执业（助理）医师0.81万人，注册护士0.95万人；医疗卫生机构床位数2.02万张。其中，医院床位1.43万张，基层卫生机构床位0.43万张，专业公共卫生机构床位0.15万张；全年总诊疗人次1537万人次。</w:t>
      </w:r>
    </w:p>
    <w:p w14:paraId="548291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末体育场地9598个，人均体育场地面积2.86平方米。全年举办各类体育活动89次，活动总人数7.03万人。参加国际比赛获得冠军1项次、亚军1项次。全国比赛获得冠军11项次，亚军1项次，季军5项次。全年销售体育彩票4.92亿元。</w:t>
      </w:r>
    </w:p>
    <w:p w14:paraId="68BD18B7">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sz w:val="32"/>
          <w:szCs w:val="32"/>
        </w:rPr>
        <w:t>十二、资源环境和安全生产</w:t>
      </w:r>
    </w:p>
    <w:p w14:paraId="3A177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全年国有建设用地供应总量1344.47公顷。其中，工矿仓储用地315.67公顷，房地产用地312.91公顷，基础设施用地715.89公顷。 </w:t>
      </w:r>
    </w:p>
    <w:p w14:paraId="30123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全年完成造林面积（含人工造林、封山育林、退化林修复）46.99万亩。年末共有自然保护区（含自然保护小区）19个。其中，国家级自然生态保护区1个，省级自然生态保护区18个。</w:t>
      </w:r>
    </w:p>
    <w:p w14:paraId="4F3D5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城区环境空气质量优良率为87.4%，比上年上升1.4个百分点。全市22个国省控水质断面中，水质优良（达到或优于Ⅲ类）断面21个，优良率95.4%，无劣Ⅴ类水体；9个县级以上城市集中式饮用水水源地水质达标率100%。全年市区累计降水量1494mm，年平均气温18.1℃。</w:t>
      </w:r>
    </w:p>
    <w:p w14:paraId="41C9B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全年各类安全生产事故死亡44人，比上年下降31.3%。其中，工矿企业事故死亡6人，道路运输事故死亡38人。亿元GDP生产事故死亡率0.024，比上年下降</w:t>
      </w:r>
      <w:r>
        <w:rPr>
          <w:rFonts w:hint="eastAsia" w:ascii="仿宋_GB2312" w:hAnsi="仿宋_GB2312" w:eastAsia="仿宋_GB2312" w:cs="仿宋_GB2312"/>
          <w:color w:val="FF0000"/>
          <w:sz w:val="32"/>
          <w:szCs w:val="32"/>
          <w:lang w:val="en-US" w:eastAsia="zh-CN"/>
        </w:rPr>
        <w:t>33.3%</w:t>
      </w:r>
      <w:r>
        <w:rPr>
          <w:rFonts w:hint="eastAsia" w:ascii="仿宋_GB2312" w:hAnsi="仿宋_GB2312" w:eastAsia="仿宋_GB2312" w:cs="仿宋_GB2312"/>
          <w:color w:val="auto"/>
          <w:sz w:val="32"/>
          <w:szCs w:val="32"/>
          <w:lang w:val="en-US" w:eastAsia="zh-CN"/>
        </w:rPr>
        <w:t>。</w:t>
      </w:r>
    </w:p>
    <w:p w14:paraId="685BA3FB">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Times New Roman" w:eastAsia="仿宋" w:cs="仿宋"/>
          <w:color w:val="FF0000"/>
          <w:sz w:val="32"/>
          <w:szCs w:val="32"/>
        </w:rPr>
      </w:pPr>
    </w:p>
    <w:p w14:paraId="256C74CB">
      <w:pPr>
        <w:keepNext w:val="0"/>
        <w:keepLines w:val="0"/>
        <w:pageBreakBefore w:val="0"/>
        <w:widowControl w:val="0"/>
        <w:kinsoku/>
        <w:wordWrap/>
        <w:overflowPunct/>
        <w:topLinePunct w:val="0"/>
        <w:bidi w:val="0"/>
        <w:snapToGrid/>
        <w:spacing w:line="560" w:lineRule="exact"/>
        <w:ind w:firstLine="562" w:firstLineChars="200"/>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注释：</w:t>
      </w:r>
    </w:p>
    <w:p w14:paraId="65411453">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1.本公报2023年数据为统计快报数</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2022年全</w:t>
      </w:r>
      <w:r>
        <w:rPr>
          <w:rFonts w:hint="eastAsia" w:ascii="楷体_GB2312" w:hAnsi="楷体_GB2312" w:eastAsia="楷体_GB2312" w:cs="楷体_GB2312"/>
          <w:sz w:val="28"/>
          <w:szCs w:val="28"/>
          <w:lang w:eastAsia="zh-CN"/>
        </w:rPr>
        <w:t>市</w:t>
      </w:r>
      <w:r>
        <w:rPr>
          <w:rFonts w:hint="eastAsia" w:ascii="楷体_GB2312" w:hAnsi="楷体_GB2312" w:eastAsia="楷体_GB2312" w:cs="楷体_GB2312"/>
          <w:sz w:val="28"/>
          <w:szCs w:val="28"/>
        </w:rPr>
        <w:t>生产总值为最终核实数。</w:t>
      </w:r>
    </w:p>
    <w:p w14:paraId="0A7E5F77">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.国内生产总值、各产业增加值绝对数按现价计算，增长速度按不变价格计算。</w:t>
      </w:r>
    </w:p>
    <w:p w14:paraId="2286156F">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.第一产业增加值＝农林牧渔业增加值－农林牧渔专业及辅助性活动增加值</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第二产业增加值＝工业增加值＋建筑业增加值－开采专业及辅助性活动增加值－金属制品、机械和设备修理业增加值</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第三产业增加值＝按行业增加值汇总的地区生产总值－第一产业增加值－第二产业增加值。</w:t>
      </w:r>
    </w:p>
    <w:p w14:paraId="6A89673E">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.居民消费价格指数即CPI，它反映一定时期内城乡居民所购买的生活消费品价格和服务项目价格变动趋势和程度的相对数，反映居民家庭购买的消费品及服务价格水平的变动情况。</w:t>
      </w:r>
    </w:p>
    <w:p w14:paraId="4967DC49">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rPr>
        <w:t>.市场主体包括</w:t>
      </w:r>
      <w:r>
        <w:rPr>
          <w:rFonts w:hint="eastAsia" w:ascii="楷体_GB2312" w:hAnsi="楷体_GB2312" w:eastAsia="楷体_GB2312" w:cs="楷体_GB2312"/>
          <w:sz w:val="28"/>
          <w:szCs w:val="28"/>
          <w:lang w:eastAsia="zh-CN"/>
        </w:rPr>
        <w:t>国有集体及控股</w:t>
      </w:r>
      <w:r>
        <w:rPr>
          <w:rFonts w:hint="eastAsia" w:ascii="楷体_GB2312" w:hAnsi="楷体_GB2312" w:eastAsia="楷体_GB2312" w:cs="楷体_GB2312"/>
          <w:sz w:val="28"/>
          <w:szCs w:val="28"/>
        </w:rPr>
        <w:t>企业、</w:t>
      </w:r>
      <w:r>
        <w:rPr>
          <w:rFonts w:hint="eastAsia" w:ascii="楷体_GB2312" w:hAnsi="楷体_GB2312" w:eastAsia="楷体_GB2312" w:cs="楷体_GB2312"/>
          <w:sz w:val="28"/>
          <w:szCs w:val="28"/>
          <w:lang w:eastAsia="zh-CN"/>
        </w:rPr>
        <w:t>外商投资</w:t>
      </w:r>
      <w:r>
        <w:rPr>
          <w:rFonts w:hint="eastAsia" w:ascii="楷体_GB2312" w:hAnsi="楷体_GB2312" w:eastAsia="楷体_GB2312" w:cs="楷体_GB2312"/>
          <w:sz w:val="28"/>
          <w:szCs w:val="28"/>
        </w:rPr>
        <w:t>企业、私营企业、个体工商户和农民专业合作社。</w:t>
      </w:r>
    </w:p>
    <w:p w14:paraId="56910035">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6</w:t>
      </w:r>
      <w:r>
        <w:rPr>
          <w:rFonts w:hint="eastAsia" w:ascii="楷体_GB2312" w:hAnsi="楷体_GB2312" w:eastAsia="楷体_GB2312" w:cs="楷体_GB2312"/>
          <w:sz w:val="28"/>
          <w:szCs w:val="28"/>
        </w:rPr>
        <w:t>.规模以上工业：指年主营业务收入2000万元及以上的工业企业。</w:t>
      </w:r>
    </w:p>
    <w:p w14:paraId="6187E76F">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val="en-US" w:eastAsia="zh-CN"/>
        </w:rPr>
        <w:t>7</w:t>
      </w:r>
      <w:r>
        <w:rPr>
          <w:rFonts w:hint="eastAsia" w:ascii="楷体_GB2312" w:hAnsi="楷体_GB2312" w:eastAsia="楷体_GB2312" w:cs="楷体_GB2312"/>
          <w:sz w:val="28"/>
          <w:szCs w:val="28"/>
        </w:rPr>
        <w:t>.资质以内建筑业：指三级以上资质的建筑业企业</w:t>
      </w:r>
      <w:r>
        <w:rPr>
          <w:rFonts w:hint="eastAsia" w:ascii="楷体_GB2312" w:hAnsi="楷体_GB2312" w:eastAsia="楷体_GB2312" w:cs="楷体_GB2312"/>
          <w:sz w:val="28"/>
          <w:szCs w:val="28"/>
          <w:lang w:eastAsia="zh-CN"/>
        </w:rPr>
        <w:t>。</w:t>
      </w:r>
    </w:p>
    <w:p w14:paraId="65E160E8">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8</w:t>
      </w:r>
      <w:r>
        <w:rPr>
          <w:rFonts w:hint="eastAsia" w:ascii="楷体_GB2312" w:hAnsi="楷体_GB2312" w:eastAsia="楷体_GB2312" w:cs="楷体_GB2312"/>
          <w:sz w:val="28"/>
          <w:szCs w:val="28"/>
        </w:rPr>
        <w:t>.限额以上批发零售业：指年主营业务收入2000万元及以上的批发业和年主营业务收入500万元及以上的零售业。</w:t>
      </w:r>
    </w:p>
    <w:p w14:paraId="271EE4ED">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9.高校包括湖北科技学院、咸宁职业技术学院、湖北健康职业学院、湖北商贸学院咸宁校区、武昌首义学院嘉鱼校区和武汉东湖学院嘉鱼校区，</w:t>
      </w:r>
      <w:r>
        <w:rPr>
          <w:rFonts w:hint="eastAsia" w:ascii="楷体_GB2312" w:hAnsi="楷体_GB2312" w:eastAsia="楷体_GB2312" w:cs="楷体_GB2312"/>
          <w:sz w:val="28"/>
          <w:szCs w:val="28"/>
        </w:rPr>
        <w:t>中等职业教育包括普通中专、成人中专</w:t>
      </w:r>
      <w:r>
        <w:rPr>
          <w:rFonts w:hint="eastAsia" w:ascii="楷体_GB2312" w:hAnsi="楷体_GB2312" w:eastAsia="楷体_GB2312" w:cs="楷体_GB2312"/>
          <w:sz w:val="28"/>
          <w:szCs w:val="28"/>
          <w:lang w:eastAsia="zh-CN"/>
        </w:rPr>
        <w:t>和</w:t>
      </w:r>
      <w:r>
        <w:rPr>
          <w:rFonts w:hint="eastAsia" w:ascii="楷体_GB2312" w:hAnsi="楷体_GB2312" w:eastAsia="楷体_GB2312" w:cs="楷体_GB2312"/>
          <w:sz w:val="28"/>
          <w:szCs w:val="28"/>
        </w:rPr>
        <w:t>职业高中。</w:t>
      </w:r>
    </w:p>
    <w:p w14:paraId="52F75458">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资料来源：</w:t>
      </w:r>
    </w:p>
    <w:p w14:paraId="2DBE006F">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sz w:val="28"/>
          <w:szCs w:val="28"/>
          <w:lang w:val="en-US" w:eastAsia="zh-CN"/>
        </w:rPr>
        <w:t>本公报中城镇新增就业人员、城镇登记失业率、养老保险、工伤保险、失业保险等数据来自市人力资源和社会保障局；外贸、进出口数据来自市商务局；文化、博物馆、广播电视节目、旅游等数据来自市文化和旅游局；档案馆、馆藏档案卷宗等数据来自市档案馆；交通数据来自市交通运输局；邮政、快递数据来自市邮政管理局；电信业务数据来自市电信、移动、联通公司；财政数据来自市财政局；金融数据来自中国人民银行咸宁中心支行；保费数据来自国家金融监督管理总局咸宁监管分局；教育数据来自市教育局；卫生数据来自市卫健委；体育数据来自市体育事业发展中心；福利彩票等数据来自市民政局；户籍人口、民用汽车等数据来自市公安局；医疗保险、生育保险等数据来自市医保局；气象数据来自市气象局；科技成果、技术合同等数据来自市科技局；市场主体、专利授权数等数据来自市市场监督管理局；地震、安全生产等数据来自市应急管理局；建设用地数据来自市国土资源局；森林资源、自然保护区等数据来自市林业局；生态环境、环境监测等数据来自市生态环境局；价格、粮食、畜禽、城乡居民收支等数据来自国家统计局咸宁调查队；其他数据均来自市统计局。</w:t>
      </w:r>
    </w:p>
    <w:sectPr>
      <w:footerReference r:id="rId3" w:type="default"/>
      <w:pgSz w:w="11906" w:h="16838"/>
      <w:pgMar w:top="204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BD0EE">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71C8B8">
                          <w:pPr>
                            <w:pStyle w:val="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- 1 -</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3qbBRNkBAACtAwAADgAAAAAAAAABACAA&#10;AAAeAQAAZHJzL2Uyb0RvYy54bWxQSwUGAAAAAAYABgBZAQAAaQUAAAAA&#10;">
              <v:fill on="f" focussize="0,0"/>
              <v:stroke on="f"/>
              <v:imagedata o:title=""/>
              <o:lock v:ext="edit" aspectratio="f"/>
              <v:textbox inset="0mm,0mm,0mm,0mm" style="mso-fit-shape-to-text:t;">
                <w:txbxContent>
                  <w:p w14:paraId="2671C8B8">
                    <w:pPr>
                      <w:pStyle w:val="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  \* MERGEFORMAT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- 1 -</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txbxContent>
              </v:textbox>
            </v:shape>
          </w:pict>
        </mc:Fallback>
      </mc:AlternateContent>
    </w:r>
  </w:p>
  <w:p w14:paraId="27A97721">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F6EDB"/>
    <w:multiLevelType w:val="singleLevel"/>
    <w:tmpl w:val="6AAF6ED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zNiYjNmYzU0Y2Y0OTNjNzczNTVlZTcyMjk0NjQifQ=="/>
  </w:docVars>
  <w:rsids>
    <w:rsidRoot w:val="005F08AE"/>
    <w:rsid w:val="0001419E"/>
    <w:rsid w:val="00014D34"/>
    <w:rsid w:val="00015C7D"/>
    <w:rsid w:val="00035C28"/>
    <w:rsid w:val="00070E5F"/>
    <w:rsid w:val="00074E92"/>
    <w:rsid w:val="00077012"/>
    <w:rsid w:val="00085A24"/>
    <w:rsid w:val="000870A5"/>
    <w:rsid w:val="000A1FA9"/>
    <w:rsid w:val="000B1217"/>
    <w:rsid w:val="000B1A08"/>
    <w:rsid w:val="000B5389"/>
    <w:rsid w:val="000C3919"/>
    <w:rsid w:val="000D0472"/>
    <w:rsid w:val="000D21F5"/>
    <w:rsid w:val="000D7603"/>
    <w:rsid w:val="000E277F"/>
    <w:rsid w:val="000E7352"/>
    <w:rsid w:val="00100F76"/>
    <w:rsid w:val="00101634"/>
    <w:rsid w:val="00104E7D"/>
    <w:rsid w:val="001215AD"/>
    <w:rsid w:val="0012354E"/>
    <w:rsid w:val="00123579"/>
    <w:rsid w:val="001250EF"/>
    <w:rsid w:val="00132A3B"/>
    <w:rsid w:val="0013637D"/>
    <w:rsid w:val="00136AA1"/>
    <w:rsid w:val="0015194D"/>
    <w:rsid w:val="0015362C"/>
    <w:rsid w:val="00154D77"/>
    <w:rsid w:val="00166C8F"/>
    <w:rsid w:val="00174154"/>
    <w:rsid w:val="0018353D"/>
    <w:rsid w:val="001B1195"/>
    <w:rsid w:val="001B1DBD"/>
    <w:rsid w:val="001B3925"/>
    <w:rsid w:val="001C4998"/>
    <w:rsid w:val="001C5AB2"/>
    <w:rsid w:val="001D4F95"/>
    <w:rsid w:val="001D791F"/>
    <w:rsid w:val="001F1DBE"/>
    <w:rsid w:val="00205BF0"/>
    <w:rsid w:val="002156CF"/>
    <w:rsid w:val="00220DB0"/>
    <w:rsid w:val="002318FA"/>
    <w:rsid w:val="00236999"/>
    <w:rsid w:val="002433C2"/>
    <w:rsid w:val="00263911"/>
    <w:rsid w:val="00266651"/>
    <w:rsid w:val="00266C23"/>
    <w:rsid w:val="00286DB3"/>
    <w:rsid w:val="00291977"/>
    <w:rsid w:val="00293982"/>
    <w:rsid w:val="00297904"/>
    <w:rsid w:val="002A0A4A"/>
    <w:rsid w:val="002A1D1B"/>
    <w:rsid w:val="002A5753"/>
    <w:rsid w:val="002C0914"/>
    <w:rsid w:val="002C16E9"/>
    <w:rsid w:val="002D465D"/>
    <w:rsid w:val="002D5DE8"/>
    <w:rsid w:val="002E26BF"/>
    <w:rsid w:val="002E5652"/>
    <w:rsid w:val="002F319B"/>
    <w:rsid w:val="002F5358"/>
    <w:rsid w:val="003078D1"/>
    <w:rsid w:val="00320456"/>
    <w:rsid w:val="00336617"/>
    <w:rsid w:val="003379C1"/>
    <w:rsid w:val="00337C9F"/>
    <w:rsid w:val="00351C39"/>
    <w:rsid w:val="00355B8D"/>
    <w:rsid w:val="00355BD9"/>
    <w:rsid w:val="003560C7"/>
    <w:rsid w:val="0036457E"/>
    <w:rsid w:val="00367296"/>
    <w:rsid w:val="00381D17"/>
    <w:rsid w:val="0038224E"/>
    <w:rsid w:val="003849D4"/>
    <w:rsid w:val="00386F66"/>
    <w:rsid w:val="00392B8D"/>
    <w:rsid w:val="003A2898"/>
    <w:rsid w:val="003A41C7"/>
    <w:rsid w:val="003A48CE"/>
    <w:rsid w:val="003A4EB2"/>
    <w:rsid w:val="003A52C8"/>
    <w:rsid w:val="003B2B98"/>
    <w:rsid w:val="003C3620"/>
    <w:rsid w:val="003C77B9"/>
    <w:rsid w:val="003D1420"/>
    <w:rsid w:val="003D41B1"/>
    <w:rsid w:val="003E4E8B"/>
    <w:rsid w:val="00403655"/>
    <w:rsid w:val="00412CA6"/>
    <w:rsid w:val="0042207D"/>
    <w:rsid w:val="00426C7E"/>
    <w:rsid w:val="004332FC"/>
    <w:rsid w:val="004527E1"/>
    <w:rsid w:val="00457E52"/>
    <w:rsid w:val="0046286C"/>
    <w:rsid w:val="00466F93"/>
    <w:rsid w:val="004A4666"/>
    <w:rsid w:val="004B1FBD"/>
    <w:rsid w:val="004B2E2B"/>
    <w:rsid w:val="004C5245"/>
    <w:rsid w:val="004D0B60"/>
    <w:rsid w:val="00503F42"/>
    <w:rsid w:val="00505ED7"/>
    <w:rsid w:val="005146A1"/>
    <w:rsid w:val="00514F26"/>
    <w:rsid w:val="00517D98"/>
    <w:rsid w:val="00526107"/>
    <w:rsid w:val="0052762B"/>
    <w:rsid w:val="00534A26"/>
    <w:rsid w:val="0053652E"/>
    <w:rsid w:val="00537320"/>
    <w:rsid w:val="005578A5"/>
    <w:rsid w:val="00595007"/>
    <w:rsid w:val="00596EC9"/>
    <w:rsid w:val="005A7245"/>
    <w:rsid w:val="005C5348"/>
    <w:rsid w:val="005C6A83"/>
    <w:rsid w:val="005C7055"/>
    <w:rsid w:val="005D560A"/>
    <w:rsid w:val="005D5820"/>
    <w:rsid w:val="005E6FD6"/>
    <w:rsid w:val="005F08AE"/>
    <w:rsid w:val="005F0BA4"/>
    <w:rsid w:val="005F3D32"/>
    <w:rsid w:val="00600AEE"/>
    <w:rsid w:val="00617E38"/>
    <w:rsid w:val="006279F3"/>
    <w:rsid w:val="00637AAE"/>
    <w:rsid w:val="006418F1"/>
    <w:rsid w:val="00642D89"/>
    <w:rsid w:val="00647AAD"/>
    <w:rsid w:val="006628B5"/>
    <w:rsid w:val="00662F98"/>
    <w:rsid w:val="0066737C"/>
    <w:rsid w:val="006809DB"/>
    <w:rsid w:val="00692284"/>
    <w:rsid w:val="00692E53"/>
    <w:rsid w:val="006B5E9B"/>
    <w:rsid w:val="006E2D6B"/>
    <w:rsid w:val="007040E1"/>
    <w:rsid w:val="007070CF"/>
    <w:rsid w:val="007112D1"/>
    <w:rsid w:val="00717B0E"/>
    <w:rsid w:val="0072606C"/>
    <w:rsid w:val="007349AF"/>
    <w:rsid w:val="00740F6F"/>
    <w:rsid w:val="0074423F"/>
    <w:rsid w:val="00746344"/>
    <w:rsid w:val="00764755"/>
    <w:rsid w:val="00765225"/>
    <w:rsid w:val="00783FDB"/>
    <w:rsid w:val="00795F82"/>
    <w:rsid w:val="00796499"/>
    <w:rsid w:val="007A15DC"/>
    <w:rsid w:val="007A5525"/>
    <w:rsid w:val="007A6122"/>
    <w:rsid w:val="007A6D4C"/>
    <w:rsid w:val="007B0216"/>
    <w:rsid w:val="007B1AD1"/>
    <w:rsid w:val="007B2CC9"/>
    <w:rsid w:val="007B36E4"/>
    <w:rsid w:val="007B3D60"/>
    <w:rsid w:val="007D6058"/>
    <w:rsid w:val="007D62FD"/>
    <w:rsid w:val="008162A4"/>
    <w:rsid w:val="00841F3D"/>
    <w:rsid w:val="00852350"/>
    <w:rsid w:val="00860C2F"/>
    <w:rsid w:val="00862BF5"/>
    <w:rsid w:val="00866B07"/>
    <w:rsid w:val="00877A5B"/>
    <w:rsid w:val="0088620A"/>
    <w:rsid w:val="0089416C"/>
    <w:rsid w:val="008A1849"/>
    <w:rsid w:val="008B3FF6"/>
    <w:rsid w:val="008B6978"/>
    <w:rsid w:val="008C5CC4"/>
    <w:rsid w:val="008D0E09"/>
    <w:rsid w:val="008F1540"/>
    <w:rsid w:val="00901050"/>
    <w:rsid w:val="00901DA2"/>
    <w:rsid w:val="00904C8D"/>
    <w:rsid w:val="00915150"/>
    <w:rsid w:val="009159CF"/>
    <w:rsid w:val="00917B7D"/>
    <w:rsid w:val="00933F43"/>
    <w:rsid w:val="00935060"/>
    <w:rsid w:val="009552E4"/>
    <w:rsid w:val="00957C34"/>
    <w:rsid w:val="0096552A"/>
    <w:rsid w:val="009659D8"/>
    <w:rsid w:val="0097491F"/>
    <w:rsid w:val="00976324"/>
    <w:rsid w:val="009829AD"/>
    <w:rsid w:val="00986BFF"/>
    <w:rsid w:val="00987408"/>
    <w:rsid w:val="009901E4"/>
    <w:rsid w:val="00995879"/>
    <w:rsid w:val="00995B86"/>
    <w:rsid w:val="009C6609"/>
    <w:rsid w:val="009E6415"/>
    <w:rsid w:val="009F5532"/>
    <w:rsid w:val="00A00FAD"/>
    <w:rsid w:val="00A301F6"/>
    <w:rsid w:val="00A431FD"/>
    <w:rsid w:val="00A45077"/>
    <w:rsid w:val="00A5338A"/>
    <w:rsid w:val="00A55F4D"/>
    <w:rsid w:val="00A57017"/>
    <w:rsid w:val="00A7040E"/>
    <w:rsid w:val="00A72164"/>
    <w:rsid w:val="00A726AE"/>
    <w:rsid w:val="00A75DE7"/>
    <w:rsid w:val="00A9687A"/>
    <w:rsid w:val="00AE6347"/>
    <w:rsid w:val="00AE7E25"/>
    <w:rsid w:val="00AF17CE"/>
    <w:rsid w:val="00AF2B12"/>
    <w:rsid w:val="00AF2F7D"/>
    <w:rsid w:val="00B072B6"/>
    <w:rsid w:val="00B20EDF"/>
    <w:rsid w:val="00B22BB2"/>
    <w:rsid w:val="00B279E2"/>
    <w:rsid w:val="00B30B52"/>
    <w:rsid w:val="00B36C2B"/>
    <w:rsid w:val="00B41CC7"/>
    <w:rsid w:val="00B473EA"/>
    <w:rsid w:val="00B639C2"/>
    <w:rsid w:val="00B73901"/>
    <w:rsid w:val="00B849AC"/>
    <w:rsid w:val="00B92541"/>
    <w:rsid w:val="00B931ED"/>
    <w:rsid w:val="00B96836"/>
    <w:rsid w:val="00BB1BAC"/>
    <w:rsid w:val="00BB1C6D"/>
    <w:rsid w:val="00BB53E8"/>
    <w:rsid w:val="00BC3FE3"/>
    <w:rsid w:val="00BD1737"/>
    <w:rsid w:val="00BD2223"/>
    <w:rsid w:val="00C01E1B"/>
    <w:rsid w:val="00C0403A"/>
    <w:rsid w:val="00C24C81"/>
    <w:rsid w:val="00C452E2"/>
    <w:rsid w:val="00C53757"/>
    <w:rsid w:val="00C673ED"/>
    <w:rsid w:val="00C764F6"/>
    <w:rsid w:val="00C81AC3"/>
    <w:rsid w:val="00C8285C"/>
    <w:rsid w:val="00C9316D"/>
    <w:rsid w:val="00CA11FE"/>
    <w:rsid w:val="00CD6765"/>
    <w:rsid w:val="00CE1AB6"/>
    <w:rsid w:val="00CF1DDD"/>
    <w:rsid w:val="00CF32DC"/>
    <w:rsid w:val="00D03F3D"/>
    <w:rsid w:val="00D042DF"/>
    <w:rsid w:val="00D2516F"/>
    <w:rsid w:val="00D41FA5"/>
    <w:rsid w:val="00D47931"/>
    <w:rsid w:val="00D63153"/>
    <w:rsid w:val="00D76A27"/>
    <w:rsid w:val="00D87A00"/>
    <w:rsid w:val="00D90064"/>
    <w:rsid w:val="00D9224E"/>
    <w:rsid w:val="00DA3036"/>
    <w:rsid w:val="00DA7189"/>
    <w:rsid w:val="00DC1A4F"/>
    <w:rsid w:val="00DC1D51"/>
    <w:rsid w:val="00DD5DA9"/>
    <w:rsid w:val="00DF08AF"/>
    <w:rsid w:val="00E04C12"/>
    <w:rsid w:val="00E13C8E"/>
    <w:rsid w:val="00E1637E"/>
    <w:rsid w:val="00E17DC4"/>
    <w:rsid w:val="00E248AA"/>
    <w:rsid w:val="00E27C59"/>
    <w:rsid w:val="00E3405F"/>
    <w:rsid w:val="00E36C23"/>
    <w:rsid w:val="00E41E45"/>
    <w:rsid w:val="00E4795E"/>
    <w:rsid w:val="00E54450"/>
    <w:rsid w:val="00E56535"/>
    <w:rsid w:val="00E8364B"/>
    <w:rsid w:val="00E90C41"/>
    <w:rsid w:val="00EA6C62"/>
    <w:rsid w:val="00EB7081"/>
    <w:rsid w:val="00ED226B"/>
    <w:rsid w:val="00EE66F0"/>
    <w:rsid w:val="00EF519D"/>
    <w:rsid w:val="00F03402"/>
    <w:rsid w:val="00F10805"/>
    <w:rsid w:val="00F30413"/>
    <w:rsid w:val="00F315C5"/>
    <w:rsid w:val="00F31C21"/>
    <w:rsid w:val="00F45AA2"/>
    <w:rsid w:val="00F65808"/>
    <w:rsid w:val="00F71410"/>
    <w:rsid w:val="00F77759"/>
    <w:rsid w:val="00F8167B"/>
    <w:rsid w:val="00F871BC"/>
    <w:rsid w:val="00F902CE"/>
    <w:rsid w:val="00F91DBB"/>
    <w:rsid w:val="00F95961"/>
    <w:rsid w:val="00F96987"/>
    <w:rsid w:val="00FA22D6"/>
    <w:rsid w:val="00FA7D0A"/>
    <w:rsid w:val="00FB77BE"/>
    <w:rsid w:val="00FD1A65"/>
    <w:rsid w:val="00FD6028"/>
    <w:rsid w:val="00FF7EC6"/>
    <w:rsid w:val="01144EAA"/>
    <w:rsid w:val="0126542A"/>
    <w:rsid w:val="01317F69"/>
    <w:rsid w:val="0147278E"/>
    <w:rsid w:val="01537CD6"/>
    <w:rsid w:val="0166249C"/>
    <w:rsid w:val="019433E0"/>
    <w:rsid w:val="01DD6264"/>
    <w:rsid w:val="0206407B"/>
    <w:rsid w:val="02160F0D"/>
    <w:rsid w:val="025C30E2"/>
    <w:rsid w:val="026259A2"/>
    <w:rsid w:val="031E679D"/>
    <w:rsid w:val="03273A3E"/>
    <w:rsid w:val="034E4BBD"/>
    <w:rsid w:val="037C3A8C"/>
    <w:rsid w:val="03EC27EA"/>
    <w:rsid w:val="044F5CAA"/>
    <w:rsid w:val="04500632"/>
    <w:rsid w:val="04B9220D"/>
    <w:rsid w:val="04BE1EAE"/>
    <w:rsid w:val="04E2157A"/>
    <w:rsid w:val="04E23B97"/>
    <w:rsid w:val="04F16063"/>
    <w:rsid w:val="050B287F"/>
    <w:rsid w:val="05621969"/>
    <w:rsid w:val="05631F65"/>
    <w:rsid w:val="056D0B77"/>
    <w:rsid w:val="058850D0"/>
    <w:rsid w:val="059A6453"/>
    <w:rsid w:val="05D97835"/>
    <w:rsid w:val="05DB2998"/>
    <w:rsid w:val="061340E1"/>
    <w:rsid w:val="0620235A"/>
    <w:rsid w:val="0664188B"/>
    <w:rsid w:val="071A4FFB"/>
    <w:rsid w:val="071B1403"/>
    <w:rsid w:val="07A814A6"/>
    <w:rsid w:val="086C2DE2"/>
    <w:rsid w:val="087A48E9"/>
    <w:rsid w:val="08814D83"/>
    <w:rsid w:val="092A5C9A"/>
    <w:rsid w:val="09322AD0"/>
    <w:rsid w:val="099E08CB"/>
    <w:rsid w:val="09A3507F"/>
    <w:rsid w:val="0A5D2D29"/>
    <w:rsid w:val="0AB20409"/>
    <w:rsid w:val="0AF60B30"/>
    <w:rsid w:val="0B0A4C34"/>
    <w:rsid w:val="0B2A6E01"/>
    <w:rsid w:val="0B2C17A1"/>
    <w:rsid w:val="0B2E6964"/>
    <w:rsid w:val="0B404311"/>
    <w:rsid w:val="0B7F7753"/>
    <w:rsid w:val="0B996E37"/>
    <w:rsid w:val="0C2B3301"/>
    <w:rsid w:val="0C643D30"/>
    <w:rsid w:val="0C8A49D1"/>
    <w:rsid w:val="0CB33F28"/>
    <w:rsid w:val="0CBE7F01"/>
    <w:rsid w:val="0D407A1C"/>
    <w:rsid w:val="0D6E2F6B"/>
    <w:rsid w:val="0DA02EFC"/>
    <w:rsid w:val="0E395A5C"/>
    <w:rsid w:val="0E4934C4"/>
    <w:rsid w:val="0E7A610B"/>
    <w:rsid w:val="0E946338"/>
    <w:rsid w:val="0EA07360"/>
    <w:rsid w:val="0EB36A12"/>
    <w:rsid w:val="0EB922D4"/>
    <w:rsid w:val="0EC5213C"/>
    <w:rsid w:val="0F046CBD"/>
    <w:rsid w:val="0F22536C"/>
    <w:rsid w:val="0F3E2FAD"/>
    <w:rsid w:val="0FB55CA2"/>
    <w:rsid w:val="10270A2C"/>
    <w:rsid w:val="106C69E7"/>
    <w:rsid w:val="11335637"/>
    <w:rsid w:val="119F6CB1"/>
    <w:rsid w:val="11A77891"/>
    <w:rsid w:val="11A959DC"/>
    <w:rsid w:val="11C0458F"/>
    <w:rsid w:val="11C92FDC"/>
    <w:rsid w:val="11DC6231"/>
    <w:rsid w:val="120F2C79"/>
    <w:rsid w:val="126E4812"/>
    <w:rsid w:val="127A4586"/>
    <w:rsid w:val="12A54982"/>
    <w:rsid w:val="12F71682"/>
    <w:rsid w:val="13620DC2"/>
    <w:rsid w:val="13942DCF"/>
    <w:rsid w:val="13BC5DB8"/>
    <w:rsid w:val="13DD2BC4"/>
    <w:rsid w:val="13E1734C"/>
    <w:rsid w:val="14083E95"/>
    <w:rsid w:val="14692BD2"/>
    <w:rsid w:val="14D55FD1"/>
    <w:rsid w:val="151829DD"/>
    <w:rsid w:val="153E5659"/>
    <w:rsid w:val="15813250"/>
    <w:rsid w:val="158340D0"/>
    <w:rsid w:val="15AA7D66"/>
    <w:rsid w:val="160165A5"/>
    <w:rsid w:val="164E691E"/>
    <w:rsid w:val="16924533"/>
    <w:rsid w:val="169F245F"/>
    <w:rsid w:val="16C3120C"/>
    <w:rsid w:val="16D37876"/>
    <w:rsid w:val="16E55626"/>
    <w:rsid w:val="16EC2DCC"/>
    <w:rsid w:val="17330FC2"/>
    <w:rsid w:val="17CF5D28"/>
    <w:rsid w:val="17E55ACB"/>
    <w:rsid w:val="184263AE"/>
    <w:rsid w:val="18661A4A"/>
    <w:rsid w:val="187B3F27"/>
    <w:rsid w:val="1892023E"/>
    <w:rsid w:val="19595E57"/>
    <w:rsid w:val="1968709F"/>
    <w:rsid w:val="197668B9"/>
    <w:rsid w:val="19AE7F92"/>
    <w:rsid w:val="19B97A25"/>
    <w:rsid w:val="19E56E6D"/>
    <w:rsid w:val="1A0F2BD1"/>
    <w:rsid w:val="1A1C4BFE"/>
    <w:rsid w:val="1A370F2F"/>
    <w:rsid w:val="1A4274B5"/>
    <w:rsid w:val="1A6745A4"/>
    <w:rsid w:val="1A6A1554"/>
    <w:rsid w:val="1A6B4337"/>
    <w:rsid w:val="1B270062"/>
    <w:rsid w:val="1B713A68"/>
    <w:rsid w:val="1B812891"/>
    <w:rsid w:val="1BD431A3"/>
    <w:rsid w:val="1BF63EEA"/>
    <w:rsid w:val="1C34700D"/>
    <w:rsid w:val="1C35495A"/>
    <w:rsid w:val="1C4A3E04"/>
    <w:rsid w:val="1C550F9D"/>
    <w:rsid w:val="1D272481"/>
    <w:rsid w:val="1D3D6A4B"/>
    <w:rsid w:val="1D611B91"/>
    <w:rsid w:val="1D894841"/>
    <w:rsid w:val="1D8B1ECB"/>
    <w:rsid w:val="1DB50D67"/>
    <w:rsid w:val="1E4979EE"/>
    <w:rsid w:val="1E5E30C5"/>
    <w:rsid w:val="1E7177AA"/>
    <w:rsid w:val="1EC02DEE"/>
    <w:rsid w:val="1EC60772"/>
    <w:rsid w:val="1F1D5017"/>
    <w:rsid w:val="1F2E5BF9"/>
    <w:rsid w:val="1F5E02BD"/>
    <w:rsid w:val="1FA9322D"/>
    <w:rsid w:val="20336CE1"/>
    <w:rsid w:val="203A0BE8"/>
    <w:rsid w:val="2075636E"/>
    <w:rsid w:val="209C5BF9"/>
    <w:rsid w:val="20A56E98"/>
    <w:rsid w:val="20B5385F"/>
    <w:rsid w:val="20CD2D9D"/>
    <w:rsid w:val="210E7527"/>
    <w:rsid w:val="211F15A6"/>
    <w:rsid w:val="2130749E"/>
    <w:rsid w:val="213640AF"/>
    <w:rsid w:val="21441798"/>
    <w:rsid w:val="214E2AE3"/>
    <w:rsid w:val="214F5B11"/>
    <w:rsid w:val="21C44FBB"/>
    <w:rsid w:val="2210107D"/>
    <w:rsid w:val="229B2C69"/>
    <w:rsid w:val="22AB2EC8"/>
    <w:rsid w:val="22DA34C6"/>
    <w:rsid w:val="22E151B3"/>
    <w:rsid w:val="22F6582B"/>
    <w:rsid w:val="23A772EC"/>
    <w:rsid w:val="23FF0565"/>
    <w:rsid w:val="24236160"/>
    <w:rsid w:val="2423675C"/>
    <w:rsid w:val="244C7F7B"/>
    <w:rsid w:val="24536778"/>
    <w:rsid w:val="24573FDB"/>
    <w:rsid w:val="24A94674"/>
    <w:rsid w:val="24B228BF"/>
    <w:rsid w:val="24BE3012"/>
    <w:rsid w:val="24FA30B0"/>
    <w:rsid w:val="25493224"/>
    <w:rsid w:val="259C034C"/>
    <w:rsid w:val="25BA505D"/>
    <w:rsid w:val="25C80F20"/>
    <w:rsid w:val="268E42D5"/>
    <w:rsid w:val="26BA4C88"/>
    <w:rsid w:val="26C760D6"/>
    <w:rsid w:val="26DB023A"/>
    <w:rsid w:val="26FF6CBA"/>
    <w:rsid w:val="277D45DB"/>
    <w:rsid w:val="27DA324F"/>
    <w:rsid w:val="27FD4681"/>
    <w:rsid w:val="281713B7"/>
    <w:rsid w:val="286B09E9"/>
    <w:rsid w:val="29086716"/>
    <w:rsid w:val="2910443B"/>
    <w:rsid w:val="298F5DC7"/>
    <w:rsid w:val="2A002A30"/>
    <w:rsid w:val="2A19461F"/>
    <w:rsid w:val="2A593E2D"/>
    <w:rsid w:val="2A677DE2"/>
    <w:rsid w:val="2A846AAC"/>
    <w:rsid w:val="2A8B1BE9"/>
    <w:rsid w:val="2AC849D3"/>
    <w:rsid w:val="2AFD774E"/>
    <w:rsid w:val="2B3E56E6"/>
    <w:rsid w:val="2BEC2FA8"/>
    <w:rsid w:val="2C09317A"/>
    <w:rsid w:val="2C11436F"/>
    <w:rsid w:val="2C5F50DB"/>
    <w:rsid w:val="2C65385B"/>
    <w:rsid w:val="2CB50867"/>
    <w:rsid w:val="2CCB352F"/>
    <w:rsid w:val="2CCD5A13"/>
    <w:rsid w:val="2CFA3055"/>
    <w:rsid w:val="2D090A00"/>
    <w:rsid w:val="2D0D63E2"/>
    <w:rsid w:val="2D4D10DE"/>
    <w:rsid w:val="2D6C5D01"/>
    <w:rsid w:val="2D942C49"/>
    <w:rsid w:val="2DFB7085"/>
    <w:rsid w:val="2E1D349F"/>
    <w:rsid w:val="2E4E0EF2"/>
    <w:rsid w:val="2EC3466E"/>
    <w:rsid w:val="2EC93DF9"/>
    <w:rsid w:val="2F1139A0"/>
    <w:rsid w:val="2F4E0C22"/>
    <w:rsid w:val="2F7A262F"/>
    <w:rsid w:val="2F907D0E"/>
    <w:rsid w:val="2FB34C6B"/>
    <w:rsid w:val="2FEA2EA5"/>
    <w:rsid w:val="3003275C"/>
    <w:rsid w:val="30222A1F"/>
    <w:rsid w:val="30576C24"/>
    <w:rsid w:val="306C77F8"/>
    <w:rsid w:val="308E41E1"/>
    <w:rsid w:val="309457AA"/>
    <w:rsid w:val="30A51846"/>
    <w:rsid w:val="31655A89"/>
    <w:rsid w:val="316E3781"/>
    <w:rsid w:val="31943A79"/>
    <w:rsid w:val="31FA1E5C"/>
    <w:rsid w:val="32141CFD"/>
    <w:rsid w:val="3221669E"/>
    <w:rsid w:val="32325901"/>
    <w:rsid w:val="323A5ADB"/>
    <w:rsid w:val="32947A36"/>
    <w:rsid w:val="32F719A3"/>
    <w:rsid w:val="33184290"/>
    <w:rsid w:val="331A0D01"/>
    <w:rsid w:val="334F1684"/>
    <w:rsid w:val="334F5A58"/>
    <w:rsid w:val="33583F1C"/>
    <w:rsid w:val="34055908"/>
    <w:rsid w:val="3421711A"/>
    <w:rsid w:val="344F46F2"/>
    <w:rsid w:val="34643C60"/>
    <w:rsid w:val="34BD07B4"/>
    <w:rsid w:val="354A2DE9"/>
    <w:rsid w:val="355C49C7"/>
    <w:rsid w:val="35712D26"/>
    <w:rsid w:val="35AA3911"/>
    <w:rsid w:val="35E12B8F"/>
    <w:rsid w:val="36020DBD"/>
    <w:rsid w:val="361F6296"/>
    <w:rsid w:val="362A032B"/>
    <w:rsid w:val="36366F82"/>
    <w:rsid w:val="3679323D"/>
    <w:rsid w:val="3699568D"/>
    <w:rsid w:val="36B45E15"/>
    <w:rsid w:val="371B0521"/>
    <w:rsid w:val="372D1E0B"/>
    <w:rsid w:val="373963C3"/>
    <w:rsid w:val="375F0E63"/>
    <w:rsid w:val="37661A13"/>
    <w:rsid w:val="37A83712"/>
    <w:rsid w:val="381F3A4C"/>
    <w:rsid w:val="383972CE"/>
    <w:rsid w:val="38780CA3"/>
    <w:rsid w:val="38B731ED"/>
    <w:rsid w:val="38CA50C7"/>
    <w:rsid w:val="38F81629"/>
    <w:rsid w:val="393A5DC8"/>
    <w:rsid w:val="396A0B6E"/>
    <w:rsid w:val="399F0F56"/>
    <w:rsid w:val="39CC24BC"/>
    <w:rsid w:val="39E179BF"/>
    <w:rsid w:val="39FA6EE9"/>
    <w:rsid w:val="3A997BCD"/>
    <w:rsid w:val="3AEC66D3"/>
    <w:rsid w:val="3B321BE5"/>
    <w:rsid w:val="3B4F4D6D"/>
    <w:rsid w:val="3C320661"/>
    <w:rsid w:val="3C3B7083"/>
    <w:rsid w:val="3C6669DF"/>
    <w:rsid w:val="3CB054DF"/>
    <w:rsid w:val="3CC6226F"/>
    <w:rsid w:val="3CE55AB8"/>
    <w:rsid w:val="3CF14355"/>
    <w:rsid w:val="3CFD4BC8"/>
    <w:rsid w:val="3D2079B7"/>
    <w:rsid w:val="3D7A7FC6"/>
    <w:rsid w:val="3DA54918"/>
    <w:rsid w:val="3DA9265A"/>
    <w:rsid w:val="3DBD69AB"/>
    <w:rsid w:val="3DD84CED"/>
    <w:rsid w:val="3DDB2D60"/>
    <w:rsid w:val="3DE052C6"/>
    <w:rsid w:val="3DE17CBB"/>
    <w:rsid w:val="3DFF2640"/>
    <w:rsid w:val="3E4140A7"/>
    <w:rsid w:val="3E4405D4"/>
    <w:rsid w:val="3E8D7343"/>
    <w:rsid w:val="3E930D36"/>
    <w:rsid w:val="3EA01CAF"/>
    <w:rsid w:val="3EF01BE5"/>
    <w:rsid w:val="3EFF3B35"/>
    <w:rsid w:val="3F273381"/>
    <w:rsid w:val="3F7B1723"/>
    <w:rsid w:val="3F982B3A"/>
    <w:rsid w:val="3F9F676B"/>
    <w:rsid w:val="3FBF6165"/>
    <w:rsid w:val="3FD73AFF"/>
    <w:rsid w:val="3FF90046"/>
    <w:rsid w:val="402B4847"/>
    <w:rsid w:val="4049784F"/>
    <w:rsid w:val="4049786E"/>
    <w:rsid w:val="40635D4B"/>
    <w:rsid w:val="40B16D45"/>
    <w:rsid w:val="40CD48B1"/>
    <w:rsid w:val="40EF2184"/>
    <w:rsid w:val="40F55BB6"/>
    <w:rsid w:val="4124757E"/>
    <w:rsid w:val="412F731A"/>
    <w:rsid w:val="413D3AC5"/>
    <w:rsid w:val="41515B2D"/>
    <w:rsid w:val="418E2292"/>
    <w:rsid w:val="41D63C39"/>
    <w:rsid w:val="42187DAE"/>
    <w:rsid w:val="42247456"/>
    <w:rsid w:val="42462B6D"/>
    <w:rsid w:val="425D3A13"/>
    <w:rsid w:val="42A31D6D"/>
    <w:rsid w:val="42E3660E"/>
    <w:rsid w:val="42E40E31"/>
    <w:rsid w:val="431C7A3B"/>
    <w:rsid w:val="43D877F5"/>
    <w:rsid w:val="43FD5B7B"/>
    <w:rsid w:val="44113FB0"/>
    <w:rsid w:val="44463434"/>
    <w:rsid w:val="444E07FB"/>
    <w:rsid w:val="44775DE2"/>
    <w:rsid w:val="45222911"/>
    <w:rsid w:val="454B334E"/>
    <w:rsid w:val="45611C48"/>
    <w:rsid w:val="456B7D4B"/>
    <w:rsid w:val="45703A5D"/>
    <w:rsid w:val="4588524B"/>
    <w:rsid w:val="45B11146"/>
    <w:rsid w:val="45B80E56"/>
    <w:rsid w:val="45BC4E32"/>
    <w:rsid w:val="46481C0B"/>
    <w:rsid w:val="46D360F4"/>
    <w:rsid w:val="46DD3F9D"/>
    <w:rsid w:val="470B42FB"/>
    <w:rsid w:val="472046A7"/>
    <w:rsid w:val="47846A18"/>
    <w:rsid w:val="47881532"/>
    <w:rsid w:val="47BE75C1"/>
    <w:rsid w:val="47CD6696"/>
    <w:rsid w:val="47D0714C"/>
    <w:rsid w:val="47EE72F0"/>
    <w:rsid w:val="48072D7F"/>
    <w:rsid w:val="481D5A69"/>
    <w:rsid w:val="483725B0"/>
    <w:rsid w:val="48DD3AFF"/>
    <w:rsid w:val="48E704DA"/>
    <w:rsid w:val="492F60F4"/>
    <w:rsid w:val="49C83ABC"/>
    <w:rsid w:val="49CD3D64"/>
    <w:rsid w:val="4A12075D"/>
    <w:rsid w:val="4A7E52E5"/>
    <w:rsid w:val="4A835FE1"/>
    <w:rsid w:val="4A9A7119"/>
    <w:rsid w:val="4AF94070"/>
    <w:rsid w:val="4B2C3CC2"/>
    <w:rsid w:val="4BBE277F"/>
    <w:rsid w:val="4BE40D01"/>
    <w:rsid w:val="4C1F608F"/>
    <w:rsid w:val="4C3B51A0"/>
    <w:rsid w:val="4CB36D91"/>
    <w:rsid w:val="4D4F7124"/>
    <w:rsid w:val="4D716652"/>
    <w:rsid w:val="4D90401E"/>
    <w:rsid w:val="4DC019BA"/>
    <w:rsid w:val="4DD94895"/>
    <w:rsid w:val="4E3F1079"/>
    <w:rsid w:val="4E437F61"/>
    <w:rsid w:val="4E98328B"/>
    <w:rsid w:val="4EB4517A"/>
    <w:rsid w:val="4EEF719D"/>
    <w:rsid w:val="4EF676C9"/>
    <w:rsid w:val="4F2E6E63"/>
    <w:rsid w:val="4F344FE5"/>
    <w:rsid w:val="4F5261CA"/>
    <w:rsid w:val="4FB355BA"/>
    <w:rsid w:val="4FD317AB"/>
    <w:rsid w:val="4FE42818"/>
    <w:rsid w:val="5016729A"/>
    <w:rsid w:val="502D1A99"/>
    <w:rsid w:val="50A478DA"/>
    <w:rsid w:val="50B55395"/>
    <w:rsid w:val="50C33E2E"/>
    <w:rsid w:val="50F80683"/>
    <w:rsid w:val="51324101"/>
    <w:rsid w:val="514E4AA9"/>
    <w:rsid w:val="517174DB"/>
    <w:rsid w:val="519219D0"/>
    <w:rsid w:val="51B74BC8"/>
    <w:rsid w:val="51C93FD6"/>
    <w:rsid w:val="51D06636"/>
    <w:rsid w:val="51E81438"/>
    <w:rsid w:val="521F52CC"/>
    <w:rsid w:val="522E56F3"/>
    <w:rsid w:val="52690464"/>
    <w:rsid w:val="52850447"/>
    <w:rsid w:val="52CA4F4D"/>
    <w:rsid w:val="53102A24"/>
    <w:rsid w:val="533E3D9F"/>
    <w:rsid w:val="533F5F90"/>
    <w:rsid w:val="53CC5FA2"/>
    <w:rsid w:val="53EA0A3D"/>
    <w:rsid w:val="543D337F"/>
    <w:rsid w:val="54567550"/>
    <w:rsid w:val="54850D54"/>
    <w:rsid w:val="54DE3346"/>
    <w:rsid w:val="54EC20B6"/>
    <w:rsid w:val="54FB2D2D"/>
    <w:rsid w:val="5515345A"/>
    <w:rsid w:val="5558730C"/>
    <w:rsid w:val="556F3D31"/>
    <w:rsid w:val="55894F44"/>
    <w:rsid w:val="55A5531E"/>
    <w:rsid w:val="55B64D6B"/>
    <w:rsid w:val="562D6444"/>
    <w:rsid w:val="563B44EB"/>
    <w:rsid w:val="5673326C"/>
    <w:rsid w:val="5689497F"/>
    <w:rsid w:val="56E30D25"/>
    <w:rsid w:val="56F42E59"/>
    <w:rsid w:val="56FD6278"/>
    <w:rsid w:val="5701617D"/>
    <w:rsid w:val="571B2450"/>
    <w:rsid w:val="572C3449"/>
    <w:rsid w:val="575907F5"/>
    <w:rsid w:val="576A1E20"/>
    <w:rsid w:val="57724D07"/>
    <w:rsid w:val="57846752"/>
    <w:rsid w:val="57E75E01"/>
    <w:rsid w:val="57FC0C53"/>
    <w:rsid w:val="581472BC"/>
    <w:rsid w:val="583F713B"/>
    <w:rsid w:val="58523BC2"/>
    <w:rsid w:val="59541CC2"/>
    <w:rsid w:val="59DB1995"/>
    <w:rsid w:val="59EF5B25"/>
    <w:rsid w:val="59FF07C1"/>
    <w:rsid w:val="5A1550D0"/>
    <w:rsid w:val="5A431A04"/>
    <w:rsid w:val="5A496E29"/>
    <w:rsid w:val="5A6C1123"/>
    <w:rsid w:val="5A9A6C68"/>
    <w:rsid w:val="5AD52888"/>
    <w:rsid w:val="5C7659A5"/>
    <w:rsid w:val="5CAD2002"/>
    <w:rsid w:val="5D275F4F"/>
    <w:rsid w:val="5DBE22C1"/>
    <w:rsid w:val="5E0607AB"/>
    <w:rsid w:val="5E281B9A"/>
    <w:rsid w:val="5E7C1EA3"/>
    <w:rsid w:val="5E801EED"/>
    <w:rsid w:val="5EB527F0"/>
    <w:rsid w:val="5F1D5A75"/>
    <w:rsid w:val="5F4349B4"/>
    <w:rsid w:val="5F541F60"/>
    <w:rsid w:val="5FCA136C"/>
    <w:rsid w:val="5FEF619A"/>
    <w:rsid w:val="60914D0A"/>
    <w:rsid w:val="60F821DF"/>
    <w:rsid w:val="610217B4"/>
    <w:rsid w:val="618C7D3B"/>
    <w:rsid w:val="61E67B53"/>
    <w:rsid w:val="62026D83"/>
    <w:rsid w:val="621C40C6"/>
    <w:rsid w:val="6226139E"/>
    <w:rsid w:val="627E49E1"/>
    <w:rsid w:val="628A38E7"/>
    <w:rsid w:val="62F13FD7"/>
    <w:rsid w:val="6329521F"/>
    <w:rsid w:val="633A555E"/>
    <w:rsid w:val="634F480C"/>
    <w:rsid w:val="635A7DCF"/>
    <w:rsid w:val="63611042"/>
    <w:rsid w:val="63863765"/>
    <w:rsid w:val="638F20B0"/>
    <w:rsid w:val="63C8658A"/>
    <w:rsid w:val="63DD36F6"/>
    <w:rsid w:val="64721148"/>
    <w:rsid w:val="649A5F7D"/>
    <w:rsid w:val="64B47C1B"/>
    <w:rsid w:val="64E82D61"/>
    <w:rsid w:val="65136487"/>
    <w:rsid w:val="655D5954"/>
    <w:rsid w:val="656D07F8"/>
    <w:rsid w:val="65B25CA0"/>
    <w:rsid w:val="65BD6DDA"/>
    <w:rsid w:val="65CA3BB5"/>
    <w:rsid w:val="65EE6E84"/>
    <w:rsid w:val="65F37423"/>
    <w:rsid w:val="66081A9E"/>
    <w:rsid w:val="66266795"/>
    <w:rsid w:val="662D7675"/>
    <w:rsid w:val="663F11BD"/>
    <w:rsid w:val="666B235D"/>
    <w:rsid w:val="66926010"/>
    <w:rsid w:val="66DD162A"/>
    <w:rsid w:val="67577F2B"/>
    <w:rsid w:val="675C0BD6"/>
    <w:rsid w:val="67731186"/>
    <w:rsid w:val="678E0158"/>
    <w:rsid w:val="679D64DC"/>
    <w:rsid w:val="67AD22CF"/>
    <w:rsid w:val="67D45504"/>
    <w:rsid w:val="682E29FB"/>
    <w:rsid w:val="68415022"/>
    <w:rsid w:val="684939E9"/>
    <w:rsid w:val="68511AAE"/>
    <w:rsid w:val="68803E14"/>
    <w:rsid w:val="68A517D4"/>
    <w:rsid w:val="69124CA8"/>
    <w:rsid w:val="692769A5"/>
    <w:rsid w:val="69287485"/>
    <w:rsid w:val="692E4C0A"/>
    <w:rsid w:val="6939396A"/>
    <w:rsid w:val="69487232"/>
    <w:rsid w:val="696F0FC2"/>
    <w:rsid w:val="69A53A78"/>
    <w:rsid w:val="69AA218F"/>
    <w:rsid w:val="69B553C4"/>
    <w:rsid w:val="6A107439"/>
    <w:rsid w:val="6A3148BE"/>
    <w:rsid w:val="6A3D1E30"/>
    <w:rsid w:val="6A4E4C82"/>
    <w:rsid w:val="6A831438"/>
    <w:rsid w:val="6B1C4974"/>
    <w:rsid w:val="6B3E7FD6"/>
    <w:rsid w:val="6BD8302C"/>
    <w:rsid w:val="6BE035CD"/>
    <w:rsid w:val="6BE039C3"/>
    <w:rsid w:val="6C157789"/>
    <w:rsid w:val="6C2106E3"/>
    <w:rsid w:val="6C89378B"/>
    <w:rsid w:val="6C9B033B"/>
    <w:rsid w:val="6CA507AD"/>
    <w:rsid w:val="6CB467A2"/>
    <w:rsid w:val="6CD87C7C"/>
    <w:rsid w:val="6CFA7C64"/>
    <w:rsid w:val="6D1E3C1B"/>
    <w:rsid w:val="6D3476DB"/>
    <w:rsid w:val="6D5B0636"/>
    <w:rsid w:val="6DF6759C"/>
    <w:rsid w:val="6DF95B12"/>
    <w:rsid w:val="6E0A1BF8"/>
    <w:rsid w:val="6E85066F"/>
    <w:rsid w:val="6EBE3CB1"/>
    <w:rsid w:val="6EDD74D4"/>
    <w:rsid w:val="6EFC4430"/>
    <w:rsid w:val="6F0C01AD"/>
    <w:rsid w:val="6F173018"/>
    <w:rsid w:val="6F1B55F1"/>
    <w:rsid w:val="6F262D7D"/>
    <w:rsid w:val="6F4C44AA"/>
    <w:rsid w:val="6F6B1FF3"/>
    <w:rsid w:val="6FEC755A"/>
    <w:rsid w:val="70180B2E"/>
    <w:rsid w:val="70495097"/>
    <w:rsid w:val="706A6400"/>
    <w:rsid w:val="706F4486"/>
    <w:rsid w:val="70704682"/>
    <w:rsid w:val="70763BB5"/>
    <w:rsid w:val="70A408DB"/>
    <w:rsid w:val="711463AD"/>
    <w:rsid w:val="71233EF6"/>
    <w:rsid w:val="71D627BF"/>
    <w:rsid w:val="71FC499E"/>
    <w:rsid w:val="726F0A9E"/>
    <w:rsid w:val="729A287D"/>
    <w:rsid w:val="729C2033"/>
    <w:rsid w:val="72C2773E"/>
    <w:rsid w:val="72FD2152"/>
    <w:rsid w:val="73733A44"/>
    <w:rsid w:val="73AA445A"/>
    <w:rsid w:val="73ED5895"/>
    <w:rsid w:val="7462678D"/>
    <w:rsid w:val="747F3FB3"/>
    <w:rsid w:val="74901886"/>
    <w:rsid w:val="74E25C92"/>
    <w:rsid w:val="751E7FEC"/>
    <w:rsid w:val="75200886"/>
    <w:rsid w:val="75531CD2"/>
    <w:rsid w:val="755503F6"/>
    <w:rsid w:val="7561323F"/>
    <w:rsid w:val="756203CD"/>
    <w:rsid w:val="756C691C"/>
    <w:rsid w:val="75824BD9"/>
    <w:rsid w:val="759929D8"/>
    <w:rsid w:val="75CE3981"/>
    <w:rsid w:val="75EE1E30"/>
    <w:rsid w:val="76297A49"/>
    <w:rsid w:val="768947FB"/>
    <w:rsid w:val="768B1A4B"/>
    <w:rsid w:val="768C0584"/>
    <w:rsid w:val="768D4119"/>
    <w:rsid w:val="76A1723F"/>
    <w:rsid w:val="76D07874"/>
    <w:rsid w:val="76DB564A"/>
    <w:rsid w:val="76EC030B"/>
    <w:rsid w:val="77156F4F"/>
    <w:rsid w:val="77424290"/>
    <w:rsid w:val="776F145C"/>
    <w:rsid w:val="778D0A76"/>
    <w:rsid w:val="77921869"/>
    <w:rsid w:val="77E319E7"/>
    <w:rsid w:val="77E668AE"/>
    <w:rsid w:val="77F51DBA"/>
    <w:rsid w:val="78582EA0"/>
    <w:rsid w:val="785E4C0A"/>
    <w:rsid w:val="78804EE9"/>
    <w:rsid w:val="78890B1C"/>
    <w:rsid w:val="790A14F7"/>
    <w:rsid w:val="79450781"/>
    <w:rsid w:val="795839C7"/>
    <w:rsid w:val="797A48CF"/>
    <w:rsid w:val="797C0332"/>
    <w:rsid w:val="79B11FE8"/>
    <w:rsid w:val="7A4C5333"/>
    <w:rsid w:val="7A6B366C"/>
    <w:rsid w:val="7A6E643F"/>
    <w:rsid w:val="7A6F4834"/>
    <w:rsid w:val="7AEA338E"/>
    <w:rsid w:val="7B38596E"/>
    <w:rsid w:val="7B860D6B"/>
    <w:rsid w:val="7BD215F8"/>
    <w:rsid w:val="7BE80D94"/>
    <w:rsid w:val="7C99467F"/>
    <w:rsid w:val="7CB0264B"/>
    <w:rsid w:val="7CB71E1E"/>
    <w:rsid w:val="7CC3033B"/>
    <w:rsid w:val="7CD45B66"/>
    <w:rsid w:val="7CE92254"/>
    <w:rsid w:val="7CF76237"/>
    <w:rsid w:val="7D4A0845"/>
    <w:rsid w:val="7D582F02"/>
    <w:rsid w:val="7D6D5F4A"/>
    <w:rsid w:val="7D7B6F08"/>
    <w:rsid w:val="7DFD787D"/>
    <w:rsid w:val="7E316391"/>
    <w:rsid w:val="7E663674"/>
    <w:rsid w:val="7EA2425F"/>
    <w:rsid w:val="7EC01C08"/>
    <w:rsid w:val="7ED61762"/>
    <w:rsid w:val="7EEA6053"/>
    <w:rsid w:val="7F1B707D"/>
    <w:rsid w:val="7F207C1B"/>
    <w:rsid w:val="7F297B37"/>
    <w:rsid w:val="7F482D79"/>
    <w:rsid w:val="7F84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index 5"/>
    <w:basedOn w:val="1"/>
    <w:next w:val="1"/>
    <w:autoRedefine/>
    <w:semiHidden/>
    <w:qFormat/>
    <w:uiPriority w:val="99"/>
    <w:rPr>
      <w:rFonts w:ascii="Times New Roman" w:hAnsi="Times New Roman" w:cs="Times New Roman"/>
    </w:rPr>
  </w:style>
  <w:style w:type="paragraph" w:styleId="4">
    <w:name w:val="Normal Indent"/>
    <w:basedOn w:val="1"/>
    <w:autoRedefine/>
    <w:qFormat/>
    <w:uiPriority w:val="0"/>
    <w:pPr>
      <w:ind w:firstLine="420"/>
    </w:pPr>
    <w:rPr>
      <w:sz w:val="24"/>
      <w:szCs w:val="20"/>
    </w:rPr>
  </w:style>
  <w:style w:type="paragraph" w:styleId="5">
    <w:name w:val="annotation text"/>
    <w:basedOn w:val="1"/>
    <w:autoRedefine/>
    <w:semiHidden/>
    <w:unhideWhenUsed/>
    <w:qFormat/>
    <w:uiPriority w:val="99"/>
    <w:pPr>
      <w:jc w:val="left"/>
    </w:pPr>
  </w:style>
  <w:style w:type="paragraph" w:styleId="6">
    <w:name w:val="Balloon Text"/>
    <w:basedOn w:val="1"/>
    <w:link w:val="20"/>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character" w:styleId="14">
    <w:name w:val="page number"/>
    <w:basedOn w:val="12"/>
    <w:autoRedefine/>
    <w:qFormat/>
    <w:uiPriority w:val="0"/>
  </w:style>
  <w:style w:type="character" w:styleId="15">
    <w:name w:val="Emphasis"/>
    <w:basedOn w:val="12"/>
    <w:autoRedefine/>
    <w:qFormat/>
    <w:uiPriority w:val="20"/>
    <w:rPr>
      <w:i/>
    </w:rPr>
  </w:style>
  <w:style w:type="character" w:styleId="16">
    <w:name w:val="annotation reference"/>
    <w:basedOn w:val="12"/>
    <w:autoRedefine/>
    <w:semiHidden/>
    <w:unhideWhenUsed/>
    <w:qFormat/>
    <w:uiPriority w:val="99"/>
    <w:rPr>
      <w:sz w:val="21"/>
      <w:szCs w:val="21"/>
    </w:rPr>
  </w:style>
  <w:style w:type="character" w:customStyle="1" w:styleId="17">
    <w:name w:val="页眉 Char"/>
    <w:basedOn w:val="12"/>
    <w:link w:val="8"/>
    <w:autoRedefine/>
    <w:qFormat/>
    <w:uiPriority w:val="99"/>
    <w:rPr>
      <w:sz w:val="18"/>
      <w:szCs w:val="18"/>
    </w:rPr>
  </w:style>
  <w:style w:type="character" w:customStyle="1" w:styleId="18">
    <w:name w:val="页脚 Char"/>
    <w:basedOn w:val="12"/>
    <w:link w:val="7"/>
    <w:autoRedefine/>
    <w:qFormat/>
    <w:uiPriority w:val="99"/>
    <w:rPr>
      <w:sz w:val="18"/>
      <w:szCs w:val="18"/>
    </w:rPr>
  </w:style>
  <w:style w:type="paragraph" w:styleId="19">
    <w:name w:val="List Paragraph"/>
    <w:basedOn w:val="1"/>
    <w:autoRedefine/>
    <w:qFormat/>
    <w:uiPriority w:val="34"/>
    <w:pPr>
      <w:ind w:firstLine="420" w:firstLineChars="200"/>
    </w:pPr>
  </w:style>
  <w:style w:type="character" w:customStyle="1" w:styleId="20">
    <w:name w:val="批注框文本 Char"/>
    <w:basedOn w:val="12"/>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32508;&#21512;&#31185;\&#20844;&#25253;\&#21688;&#23425;&#32479;&#35745;&#20844;&#25253;\&#20844;&#25253;&#34920;&#266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0844;&#25253;&#34920;&#2668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32508;&#21512;&#31185;\&#20844;&#25253;\&#21688;&#23425;&#32479;&#35745;&#20844;&#25253;\&#20844;&#25253;&#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0876608683655113"/>
          <c:y val="0.0073535077707873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solidFill>
              <a:latin typeface="+mn-lt"/>
              <a:ea typeface="+mn-ea"/>
              <a:cs typeface="+mn-cs"/>
            </a:defRPr>
          </a:pPr>
        </a:p>
      </c:txPr>
    </c:title>
    <c:autoTitleDeleted val="0"/>
    <c:plotArea>
      <c:layout>
        <c:manualLayout>
          <c:layoutTarget val="inner"/>
          <c:xMode val="edge"/>
          <c:yMode val="edge"/>
          <c:x val="0.0633590138674884"/>
          <c:y val="0.103476974292584"/>
          <c:w val="0.928834103749358"/>
          <c:h val="0.791511004253745"/>
        </c:manualLayout>
      </c:layout>
      <c:barChart>
        <c:barDir val="col"/>
        <c:grouping val="clustered"/>
        <c:varyColors val="0"/>
        <c:ser>
          <c:idx val="0"/>
          <c:order val="0"/>
          <c:tx>
            <c:strRef>
              <c:f>[公报表格.xlsx]全市汇总!$A$8</c:f>
              <c:strCache>
                <c:ptCount val="1"/>
                <c:pt idx="0">
                  <c:v>万吨</c:v>
                </c:pt>
              </c:strCache>
            </c:strRef>
          </c:tx>
          <c:spPr>
            <a:gradFill>
              <a:gsLst>
                <a:gs pos="0">
                  <a:srgbClr val="14CD68"/>
                </a:gs>
                <a:gs pos="100000">
                  <a:srgbClr val="0B6E38"/>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[公报表格.xlsx]全市汇总!$B$7:$F$7</c:f>
              <c:strCache>
                <c:ptCount val="5"/>
                <c:pt idx="0">
                  <c:v>2019年</c:v>
                </c:pt>
                <c:pt idx="1">
                  <c:v>2020年</c:v>
                </c:pt>
                <c:pt idx="2">
                  <c:v>2021年</c:v>
                </c:pt>
                <c:pt idx="3">
                  <c:v>2022年</c:v>
                </c:pt>
                <c:pt idx="4">
                  <c:v>2023年</c:v>
                </c:pt>
              </c:strCache>
            </c:strRef>
          </c:cat>
          <c:val>
            <c:numRef>
              <c:f>[公报表格.xlsx]全市汇总!$B$8:$F$8</c:f>
              <c:numCache>
                <c:formatCode>0.00_ </c:formatCode>
                <c:ptCount val="5"/>
                <c:pt idx="0">
                  <c:v>116.45</c:v>
                </c:pt>
                <c:pt idx="1">
                  <c:v>116.83</c:v>
                </c:pt>
                <c:pt idx="2" c:formatCode="General">
                  <c:v>119.51</c:v>
                </c:pt>
                <c:pt idx="3">
                  <c:v>118.7</c:v>
                </c:pt>
                <c:pt idx="4">
                  <c:v>120.82</c:v>
                </c:pt>
              </c:numCache>
            </c:numRef>
          </c:val>
        </c:ser>
        <c:dLbls>
          <c:showLegendKey val="0"/>
          <c:showVal val="1"/>
          <c:showCatName val="0"/>
          <c:showSerName val="0"/>
          <c:showPercent val="0"/>
          <c:showBubbleSize val="0"/>
        </c:dLbls>
        <c:gapWidth val="219"/>
        <c:overlap val="-27"/>
        <c:axId val="951292792"/>
        <c:axId val="414565447"/>
      </c:barChart>
      <c:catAx>
        <c:axId val="951292792"/>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414565447"/>
        <c:crosses val="autoZero"/>
        <c:auto val="1"/>
        <c:lblAlgn val="ctr"/>
        <c:lblOffset val="100"/>
        <c:noMultiLvlLbl val="0"/>
      </c:catAx>
      <c:valAx>
        <c:axId val="414565447"/>
        <c:scaling>
          <c:orientation val="minMax"/>
          <c:min val="0"/>
        </c:scaling>
        <c:delete val="0"/>
        <c:axPos val="l"/>
        <c:numFmt formatCode="0_);[Red]\(0\)" sourceLinked="0"/>
        <c:majorTickMark val="out"/>
        <c:minorTickMark val="none"/>
        <c:tickLblPos val="nextTo"/>
        <c:spPr>
          <a:noFill/>
          <a:ln w="12700" cmpd="sng">
            <a:solidFill>
              <a:schemeClr val="tx1"/>
            </a:solidFill>
            <a:prstDash val="solid"/>
          </a:ln>
          <a:effectLst/>
        </c:spPr>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951292792"/>
        <c:crosses val="autoZero"/>
        <c:crossBetween val="between"/>
      </c:valAx>
      <c:spPr>
        <a:noFill/>
        <a:ln>
          <a:noFill/>
        </a:ln>
        <a:effectLst/>
      </c:spPr>
    </c:plotArea>
    <c:plotVisOnly val="1"/>
    <c:dispBlanksAs val="gap"/>
    <c:showDLblsOverMax val="0"/>
    <c:extLst>
      <c:ext uri="{0b15fc19-7d7d-44ad-8c2d-2c3a37ce22c3}">
        <chartProps xmlns="https://web.wps.cn/et/2018/main" chartId="{daaad476-710e-4897-8533-c947decb13f8}"/>
      </c:ext>
    </c:extLst>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4698018671661"/>
          <c:y val="0.0470766289628804"/>
          <c:w val="0.863323383084577"/>
          <c:h val="0.773438245112065"/>
        </c:manualLayout>
      </c:layout>
      <c:barChart>
        <c:barDir val="col"/>
        <c:grouping val="clustered"/>
        <c:varyColors val="0"/>
        <c:ser>
          <c:idx val="0"/>
          <c:order val="0"/>
          <c:tx>
            <c:strRef>
              <c:f>[公报表格.xlsx]社会消费品零售!$A$3</c:f>
              <c:strCache>
                <c:ptCount val="1"/>
                <c:pt idx="0">
                  <c:v>总量（亿元）</c:v>
                </c:pt>
              </c:strCache>
            </c:strRef>
          </c:tx>
          <c:spPr>
            <a:solidFill>
              <a:schemeClr val="accent6"/>
            </a:solidFill>
            <a:ln>
              <a:noFill/>
            </a:ln>
            <a:effectLst>
              <a:outerShdw blurRad="40000" dist="23000" dir="5400000" rotWithShape="0">
                <a:srgbClr val="000000">
                  <a:alpha val="35000"/>
                </a:srgbClr>
              </a:outerShdw>
            </a:effectLst>
          </c:spPr>
          <c:invertIfNegative val="0"/>
          <c:dLbls>
            <c:dLbl>
              <c:idx val="3"/>
              <c:layout>
                <c:manualLayout>
                  <c:x val="0.00298507462686567"/>
                  <c:y val="-0.000106461554793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98507462686567"/>
                  <c:y val="0.007153075822603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[公报表格.xlsx]社会消费品零售!$B$1:$F$2</c:f>
              <c:multiLvlStrCache>
                <c:ptCount val="5"/>
                <c:lvl>
                  <c:pt idx="0">
                    <c:v>2019年</c:v>
                  </c:pt>
                  <c:pt idx="1">
                    <c:v>2020年</c:v>
                  </c:pt>
                  <c:pt idx="2">
                    <c:v>2021年</c:v>
                  </c:pt>
                  <c:pt idx="3">
                    <c:v>2022年</c:v>
                  </c:pt>
                  <c:pt idx="4">
                    <c:v>2023年</c:v>
                  </c:pt>
                </c:lvl>
                <c:lvl/>
              </c:multiLvlStrCache>
            </c:multiLvlStrRef>
          </c:cat>
          <c:val>
            <c:numRef>
              <c:f>[公报表格.xlsx]社会消费品零售!$B$3:$F$3</c:f>
              <c:numCache>
                <c:formatCode>0.00_ </c:formatCode>
                <c:ptCount val="5"/>
                <c:pt idx="0">
                  <c:v>708.400622532707</c:v>
                </c:pt>
                <c:pt idx="1">
                  <c:v>604.0407</c:v>
                </c:pt>
                <c:pt idx="2" c:formatCode="General">
                  <c:v>781.93</c:v>
                </c:pt>
                <c:pt idx="3" c:formatCode="General">
                  <c:v>812.34</c:v>
                </c:pt>
                <c:pt idx="4" c:formatCode="General">
                  <c:v>875.32</c:v>
                </c:pt>
              </c:numCache>
            </c:numRef>
          </c:val>
        </c:ser>
        <c:dLbls>
          <c:showLegendKey val="0"/>
          <c:showVal val="1"/>
          <c:showCatName val="0"/>
          <c:showSerName val="0"/>
          <c:showPercent val="0"/>
          <c:showBubbleSize val="0"/>
        </c:dLbls>
        <c:gapWidth val="219"/>
        <c:overlap val="-27"/>
        <c:axId val="282822264"/>
        <c:axId val="875575858"/>
      </c:barChart>
      <c:lineChart>
        <c:grouping val="standard"/>
        <c:varyColors val="0"/>
        <c:ser>
          <c:idx val="1"/>
          <c:order val="1"/>
          <c:tx>
            <c:strRef>
              <c:f>[公报表格.xlsx]社会消费品零售!$A$4</c:f>
              <c:strCache>
                <c:ptCount val="1"/>
                <c:pt idx="0">
                  <c:v>增速（%）</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0.0413122721749696"/>
                  <c:y val="0.055020632737276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5164034021871"/>
                  <c:y val="0.05272810637322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43013365735115"/>
                  <c:y val="0.01604768454837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64520048602672"/>
                  <c:y val="-0.00458505272810637"/>
                </c:manualLayout>
              </c:layout>
              <c:numFmt formatCode="General" sourceLinked="1"/>
              <c:spPr>
                <a:noFill/>
                <a:ln>
                  <a:noFill/>
                </a:ln>
                <a:effectLst/>
              </c:spPr>
              <c:txPr>
                <a:bodyPr rot="0" spcFirstLastPara="0" vertOverflow="ellipsis" vert="horz" wrap="square" lIns="38100" tIns="19050" rIns="38100" bIns="19050" anchor="t" anchorCtr="1"/>
                <a:lstStyle/>
                <a:p>
                  <a:pPr>
                    <a:defRPr lang="zh-CN" sz="12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3086269744836"/>
                  <c:y val="0.057313159101329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[公报表格.xlsx]社会消费品零售!$B$1:$F$2</c:f>
              <c:multiLvlStrCache>
                <c:ptCount val="5"/>
                <c:lvl>
                  <c:pt idx="0">
                    <c:v>2019年</c:v>
                  </c:pt>
                  <c:pt idx="1">
                    <c:v>2020年</c:v>
                  </c:pt>
                  <c:pt idx="2">
                    <c:v>2021年</c:v>
                  </c:pt>
                  <c:pt idx="3">
                    <c:v>2022年</c:v>
                  </c:pt>
                  <c:pt idx="4">
                    <c:v>2023年</c:v>
                  </c:pt>
                </c:lvl>
                <c:lvl/>
              </c:multiLvlStrCache>
            </c:multiLvlStrRef>
          </c:cat>
          <c:val>
            <c:numRef>
              <c:f>[公报表格.xlsx]社会消费品零售!$B$4:$F$4</c:f>
              <c:numCache>
                <c:formatCode>0.0_ </c:formatCode>
                <c:ptCount val="5"/>
                <c:pt idx="0">
                  <c:v>11.6</c:v>
                </c:pt>
                <c:pt idx="1">
                  <c:v>-14.7</c:v>
                </c:pt>
                <c:pt idx="2" c:formatCode="General">
                  <c:v>29.5</c:v>
                </c:pt>
                <c:pt idx="3" c:formatCode="General">
                  <c:v>3.9</c:v>
                </c:pt>
                <c:pt idx="4" c:formatCode="General">
                  <c:v>7.8</c:v>
                </c:pt>
              </c:numCache>
            </c:numRef>
          </c:val>
          <c:smooth val="0"/>
        </c:ser>
        <c:dLbls>
          <c:showLegendKey val="0"/>
          <c:showVal val="1"/>
          <c:showCatName val="0"/>
          <c:showSerName val="0"/>
          <c:showPercent val="0"/>
          <c:showBubbleSize val="0"/>
        </c:dLbls>
        <c:marker val="0"/>
        <c:smooth val="0"/>
        <c:axId val="296057916"/>
        <c:axId val="82289948"/>
      </c:lineChart>
      <c:catAx>
        <c:axId val="282822264"/>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875575858"/>
        <c:crosses val="autoZero"/>
        <c:auto val="1"/>
        <c:lblAlgn val="ctr"/>
        <c:lblOffset val="100"/>
        <c:noMultiLvlLbl val="0"/>
      </c:catAx>
      <c:valAx>
        <c:axId val="875575858"/>
        <c:scaling>
          <c:orientation val="minMax"/>
        </c:scaling>
        <c:delete val="0"/>
        <c:axPos val="l"/>
        <c:numFmt formatCode="0_);[Red]\(0\)" sourceLinked="0"/>
        <c:majorTickMark val="out"/>
        <c:minorTickMark val="none"/>
        <c:tickLblPos val="nextTo"/>
        <c:spPr>
          <a:noFill/>
          <a:ln w="12700" cmpd="sng">
            <a:solidFill>
              <a:schemeClr val="tx1"/>
            </a:solidFill>
            <a:prstDash val="solid"/>
          </a:ln>
          <a:effectLst/>
        </c:spPr>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282822264"/>
        <c:crosses val="autoZero"/>
        <c:crossBetween val="between"/>
      </c:valAx>
      <c:catAx>
        <c:axId val="296057916"/>
        <c:scaling>
          <c:orientation val="minMax"/>
        </c:scaling>
        <c:delete val="1"/>
        <c:axPos val="b"/>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2"/>
                </a:solidFill>
                <a:latin typeface="+mn-lt"/>
                <a:ea typeface="+mn-ea"/>
                <a:cs typeface="+mn-cs"/>
              </a:defRPr>
            </a:pPr>
          </a:p>
        </c:txPr>
        <c:crossAx val="82289948"/>
        <c:crosses val="autoZero"/>
        <c:auto val="1"/>
        <c:lblAlgn val="ctr"/>
        <c:lblOffset val="100"/>
        <c:noMultiLvlLbl val="0"/>
      </c:catAx>
      <c:valAx>
        <c:axId val="82289948"/>
        <c:scaling>
          <c:orientation val="minMax"/>
          <c:max val="40"/>
          <c:min val="-20"/>
        </c:scaling>
        <c:delete val="0"/>
        <c:axPos val="r"/>
        <c:numFmt formatCode="0.0_ " sourceLinked="0"/>
        <c:majorTickMark val="out"/>
        <c:minorTickMark val="none"/>
        <c:tickLblPos val="high"/>
        <c:spPr>
          <a:noFill/>
          <a:ln w="12700" cmpd="sng">
            <a:solidFill>
              <a:schemeClr val="tx1"/>
            </a:solidFill>
            <a:prstDash val="solid"/>
          </a:ln>
          <a:effectLst/>
        </c:spPr>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296057916"/>
        <c:crosses val="max"/>
        <c:crossBetween val="between"/>
        <c:majorUnit val="10"/>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2"/>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2"/>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3b7a3ea5-6ac2-4ae4-958c-50811f4b6f86}"/>
      </c:ext>
    </c:extLst>
  </c:chart>
  <c:spPr>
    <a:noFill/>
    <a:ln w="28575" cap="flat" cmpd="sng" algn="ctr">
      <a:noFill/>
      <a:prstDash val="solid"/>
      <a:round/>
    </a:ln>
    <a:effectLst/>
  </c:spPr>
  <c:txPr>
    <a:bodyPr/>
    <a:lstStyle/>
    <a:p>
      <a:pPr>
        <a:defRPr lang="zh-CN" sz="12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solidFill>
                <a:latin typeface="+mn-lt"/>
                <a:ea typeface="+mn-ea"/>
                <a:cs typeface="+mn-cs"/>
              </a:defRPr>
            </a:pPr>
            <a:r>
              <a:rPr sz="1200">
                <a:solidFill>
                  <a:schemeClr val="tx1"/>
                </a:solidFill>
              </a:rPr>
              <a:t>亿元</a:t>
            </a:r>
            <a:endParaRPr sz="1200">
              <a:solidFill>
                <a:schemeClr val="tx1"/>
              </a:solidFill>
            </a:endParaRPr>
          </a:p>
        </c:rich>
      </c:tx>
      <c:layout>
        <c:manualLayout>
          <c:xMode val="edge"/>
          <c:yMode val="edge"/>
          <c:x val="0.00365675280351048"/>
          <c:y val="0.0339918361059766"/>
        </c:manualLayout>
      </c:layout>
      <c:overlay val="0"/>
      <c:spPr>
        <a:noFill/>
        <a:ln>
          <a:noFill/>
        </a:ln>
        <a:effectLst/>
      </c:spPr>
    </c:title>
    <c:autoTitleDeleted val="0"/>
    <c:plotArea>
      <c:layout/>
      <c:barChart>
        <c:barDir val="col"/>
        <c:grouping val="stacked"/>
        <c:varyColors val="0"/>
        <c:ser>
          <c:idx val="0"/>
          <c:order val="0"/>
          <c:tx>
            <c:strRef>
              <c:f>[公报表格.xlsx]全市汇总!$A$16</c:f>
              <c:strCache>
                <c:ptCount val="1"/>
                <c:pt idx="0">
                  <c:v>  出口总额</c:v>
                </c:pt>
              </c:strCache>
            </c:strRef>
          </c:tx>
          <c:spPr>
            <a:pattFill prst="pct30">
              <a:fgClr>
                <a:schemeClr val="accent1"/>
              </a:fgClr>
              <a:bgClr>
                <a:schemeClr val="bg1"/>
              </a:bgClr>
            </a:pattFill>
            <a:ln>
              <a:solidFill>
                <a:schemeClr val="accent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[公报表格.xlsx]全市汇总!$B$15:$F$15</c:f>
              <c:strCache>
                <c:ptCount val="5"/>
                <c:pt idx="0">
                  <c:v>2019年</c:v>
                </c:pt>
                <c:pt idx="1">
                  <c:v>2020年</c:v>
                </c:pt>
                <c:pt idx="2">
                  <c:v>2021年</c:v>
                </c:pt>
                <c:pt idx="3">
                  <c:v>2022年</c:v>
                </c:pt>
                <c:pt idx="4">
                  <c:v>2023年</c:v>
                </c:pt>
              </c:strCache>
            </c:strRef>
          </c:cat>
          <c:val>
            <c:numRef>
              <c:f>[公报表格.xlsx]全市汇总!$B$16:$F$16</c:f>
              <c:numCache>
                <c:formatCode>0.00_ </c:formatCode>
                <c:ptCount val="5"/>
                <c:pt idx="0">
                  <c:v>55.88</c:v>
                </c:pt>
                <c:pt idx="1">
                  <c:v>65.78</c:v>
                </c:pt>
                <c:pt idx="2" c:formatCode="General">
                  <c:v>82.89</c:v>
                </c:pt>
                <c:pt idx="3" c:formatCode="General">
                  <c:v>113.56</c:v>
                </c:pt>
                <c:pt idx="4" c:formatCode="General">
                  <c:v>115.46</c:v>
                </c:pt>
              </c:numCache>
            </c:numRef>
          </c:val>
        </c:ser>
        <c:ser>
          <c:idx val="1"/>
          <c:order val="1"/>
          <c:tx>
            <c:strRef>
              <c:f>[公报表格.xlsx]全市汇总!$A$17</c:f>
              <c:strCache>
                <c:ptCount val="1"/>
                <c:pt idx="0">
                  <c:v>  进口总额</c:v>
                </c:pt>
              </c:strCache>
            </c:strRef>
          </c:tx>
          <c:spPr>
            <a:pattFill prst="pct10">
              <a:fgClr>
                <a:schemeClr val="accent2"/>
              </a:fgClr>
              <a:bgClr>
                <a:schemeClr val="accent2">
                  <a:lumMod val="60000"/>
                  <a:lumOff val="40000"/>
                </a:schemeClr>
              </a:bgClr>
            </a:pattFill>
            <a:ln>
              <a:noFill/>
            </a:ln>
            <a:effectLst/>
          </c:spPr>
          <c:invertIfNegative val="0"/>
          <c:dLbls>
            <c:dLbl>
              <c:idx val="0"/>
              <c:layout>
                <c:manualLayout>
                  <c:x val="0"/>
                  <c:y val="-0.031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[公报表格.xlsx]全市汇总!$B$15:$F$15</c:f>
              <c:strCache>
                <c:ptCount val="5"/>
                <c:pt idx="0">
                  <c:v>2019年</c:v>
                </c:pt>
                <c:pt idx="1">
                  <c:v>2020年</c:v>
                </c:pt>
                <c:pt idx="2">
                  <c:v>2021年</c:v>
                </c:pt>
                <c:pt idx="3">
                  <c:v>2022年</c:v>
                </c:pt>
                <c:pt idx="4">
                  <c:v>2023年</c:v>
                </c:pt>
              </c:strCache>
            </c:strRef>
          </c:cat>
          <c:val>
            <c:numRef>
              <c:f>[公报表格.xlsx]全市汇总!$B$17:$F$17</c:f>
              <c:numCache>
                <c:formatCode>0.00_ </c:formatCode>
                <c:ptCount val="5"/>
                <c:pt idx="0">
                  <c:v>6.91</c:v>
                </c:pt>
                <c:pt idx="1">
                  <c:v>8.14</c:v>
                </c:pt>
                <c:pt idx="2" c:formatCode="General">
                  <c:v>9.47</c:v>
                </c:pt>
                <c:pt idx="3" c:formatCode="General">
                  <c:v>8.61</c:v>
                </c:pt>
                <c:pt idx="4" c:formatCode="General">
                  <c:v>8.29</c:v>
                </c:pt>
              </c:numCache>
            </c:numRef>
          </c:val>
        </c:ser>
        <c:dLbls>
          <c:showLegendKey val="0"/>
          <c:showVal val="1"/>
          <c:showCatName val="0"/>
          <c:showSerName val="0"/>
          <c:showPercent val="0"/>
          <c:showBubbleSize val="0"/>
        </c:dLbls>
        <c:gapWidth val="150"/>
        <c:overlap val="100"/>
        <c:axId val="661591622"/>
        <c:axId val="201929672"/>
      </c:barChart>
      <c:catAx>
        <c:axId val="661591622"/>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201929672"/>
        <c:crosses val="autoZero"/>
        <c:auto val="1"/>
        <c:lblAlgn val="ctr"/>
        <c:lblOffset val="100"/>
        <c:noMultiLvlLbl val="0"/>
      </c:catAx>
      <c:valAx>
        <c:axId val="201929672"/>
        <c:scaling>
          <c:orientation val="minMax"/>
          <c:max val="130"/>
        </c:scaling>
        <c:delete val="0"/>
        <c:axPos val="l"/>
        <c:numFmt formatCode="0_);[Red]\(0\)" sourceLinked="0"/>
        <c:majorTickMark val="out"/>
        <c:minorTickMark val="none"/>
        <c:tickLblPos val="nextTo"/>
        <c:spPr>
          <a:noFill/>
          <a:ln w="12700" cmpd="sng">
            <a:solidFill>
              <a:schemeClr val="tx1"/>
            </a:solidFill>
            <a:prstDash val="solid"/>
          </a:ln>
          <a:effectLst/>
        </c:spPr>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661591622"/>
        <c:crosses val="autoZero"/>
        <c:crossBetween val="between"/>
        <c:majorUnit val="10"/>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6b6b348-3f2e-4adb-9146-5ac35711cfea}"/>
      </c:ext>
    </c:extLst>
  </c:chart>
  <c:spPr>
    <a:noFill/>
    <a:ln w="9525" cap="flat" cmpd="sng" algn="ctr">
      <a:noFill/>
      <a:prstDash val="solid"/>
      <a:round/>
    </a:ln>
    <a:effectLst/>
  </c:spPr>
  <c:txPr>
    <a:bodyPr/>
    <a:lstStyle/>
    <a:p>
      <a:pPr>
        <a:defRPr lang="zh-CN" sz="12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12</Pages>
  <Words>4427</Words>
  <Characters>5515</Characters>
  <Lines>40</Lines>
  <Paragraphs>11</Paragraphs>
  <TotalTime>131</TotalTime>
  <ScaleCrop>false</ScaleCrop>
  <LinksUpToDate>false</LinksUpToDate>
  <CharactersWithSpaces>5524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2019-05-17T03:31:00Z</dcterms:created>
  <dc:creator>Administrator</dc:creator>
  <cp:lastModifiedBy>钰簟秋</cp:lastModifiedBy>
  <cp:lastPrinted>2024-04-21T13:37:00Z</cp:lastPrinted>
  <dcterms:modified xsi:type="dcterms:W3CDTF">2024-12-13T09:11:54Z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EC6406DE14334F028A0FF709FCA7D698_13</vt:lpwstr>
  </property>
</Properties>
</file>