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襄阳市2022年国民经济和社会发展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襄阳市统计局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，面对复杂严峻的经济形势和多重超预期因素的考验，全市上下坚持以习近平新时代中国特色社会主义思想为指导，认真贯彻落实党中央、国务院和省委、省政府决策部署，坚持稳中求进工作总基调，高效统筹疫情防控和经济社会发展，全市经济运行稳中向好，新兴动能加速成长，运行质效改善提升，民生保障坚实有力，社会事业均衡发展，襄阳都市圈高质量发展迈稳第一步、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步核算，2022年全市地区生产总值（GDP）5827.81亿元，跨越5800亿元台阶，按不变价格计算，比上年增长5.4%。其中，第一产业增加值605.61亿元，增长4.4%；第二产业增加值2734.56亿元，增长9.5%；第三产业增加值2487.64亿元，增长1.7%。三次产业结构由2021年核实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∶4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∶4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调整为10.4∶46.9∶42.7。人均地区生产总值11.1万元，突破1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万元大关。</w:t>
      </w:r>
    </w:p>
    <w:p>
      <w:pPr>
        <w:tabs>
          <w:tab w:val="left" w:pos="3030"/>
        </w:tabs>
        <w:spacing w:line="560" w:lineRule="exact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图1  201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eastAsia="zh"/>
        </w:rPr>
        <w:t>8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-202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eastAsia="zh"/>
        </w:rPr>
        <w:t>2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年襄阳市地区生产总值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10160</wp:posOffset>
            </wp:positionV>
            <wp:extent cx="5017770" cy="2705100"/>
            <wp:effectExtent l="0" t="0" r="11430" b="0"/>
            <wp:wrapSquare wrapText="bothSides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消费价格温和上涨。全市居民消费价格比上年上涨2.2%。分类别看，食品烟酒价格上涨2.3%，衣着价格上涨2.3%，居住价格上涨0.8%，生活用品及服务价格上涨1.8%，交通和通信价格上涨5.4%，教育文化和娱乐价格上涨2.7%，医疗保健价格上涨0.2%，其他用品和服务价格上涨2.0%。商品零售价格比上年上涨3.3%。</w:t>
      </w:r>
    </w:p>
    <w:p>
      <w:pPr>
        <w:tabs>
          <w:tab w:val="left" w:pos="3030"/>
        </w:tabs>
        <w:spacing w:line="600" w:lineRule="exact"/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图</w:t>
      </w:r>
      <w:r>
        <w:rPr>
          <w:rFonts w:ascii="黑体" w:hAnsi="宋体" w:eastAsia="黑体" w:cs="宋体"/>
          <w:bCs/>
          <w:kern w:val="0"/>
          <w:sz w:val="28"/>
          <w:szCs w:val="28"/>
        </w:rPr>
        <w:t>2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  2018-2022年襄阳市居民消费价格指数</w:t>
      </w:r>
    </w:p>
    <w:p>
      <w:pPr>
        <w:pStyle w:val="2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92710</wp:posOffset>
            </wp:positionV>
            <wp:extent cx="4472305" cy="2411095"/>
            <wp:effectExtent l="0" t="0" r="4445" b="8255"/>
            <wp:wrapNone/>
            <wp:docPr id="10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/>
                  </pic:nvPicPr>
                  <pic:blipFill>
                    <a:blip r:embed="rId7">
                      <a:lum contrast="-2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宋体" w:eastAsia="黑体" w:cs="宋体"/>
          <w:bCs/>
          <w:kern w:val="0"/>
          <w:sz w:val="28"/>
          <w:szCs w:val="28"/>
        </w:rPr>
      </w:pPr>
    </w:p>
    <w:p>
      <w:pPr>
        <w:pStyle w:val="2"/>
        <w:rPr>
          <w:rFonts w:hint="eastAsia" w:ascii="黑体" w:hAnsi="宋体" w:eastAsia="黑体" w:cs="宋体"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市场主体稳步壮大。全市新登记市场主体12.56万户，累计达到66.22万户，比上年增长9.7%。其中，新登记企业类市场主体2.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万户，累计达到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万户；新登记个体工商户9.74万户，累计达到51.52万户。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全市农林牧渔业增加值644.09亿元，比上年增长4.9%。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全年粮食种植面积792.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千公顷，与上年持平；粮食总产量469.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万吨，比上年下降0.8%；油料产量36.4万吨，下降0.5%；棉花产量0.8万吨，增长2.0%；茶叶产量1.2万吨，增长12.4%；水果产量138.9万吨，增长12.8%。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全市猪牛羊禽肉产量64.15万吨，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增长4.5%。禽蛋产量40.4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万吨，增长6.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%。生猪出栏616.4万头，增长4.2%；羊出栏130.2万只，增长12.7%；牛出栏31.5万头，增长2.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%；家禽出笼7147.0万只，增长2.7%；水产品产量20.9万吨，增长3.3%。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全市规模以上工业增加值比上年增长12.1%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经济类型看，国有控股企业增长0.6%，股份制企业增长13.4%，外商及港澳台投资企业下降1.3%，民营企业增长13.8%。轻工业增长7.6%，重工业增长13.9%。分门类看，采矿业增长1.6%，制造业增长12.1%，电力、热力、燃气及水生产和供应业增长21.9%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规模以上工业企业饮料酒产量13.5万千升，比上年增长48.4%；布产量25.8亿米，增长2.8%；服装产量4262.0万件，下降2.4%；硫酸产量84.7万吨，增长513.8%；化肥产量70.6万吨，增长10.0%；水泥产量1267.5万吨，增长6.2%；钢材产量133.0万吨，下降14.2%；汽车产量33.2万辆（含风神襄阳汽车有限公司在襄阳生产车辆），下降16.5%，其中新能源汽车2.3万辆，增长59.2%。全市全社会用电量189.56亿千瓦时，增长4.8%。其中，工业用电量107.27亿千瓦时，下降2.7%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全市规模以上工业销售产值比上年增长13.0%，出口交货值增长9.0%。规模以上工业企业实现营业收入7519.41亿元，增长14.0%；实现利润总额446.16亿元，增长9.7%。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全市具有总承包和专业承包资质建筑业法人企业实现总产值1346.9亿元，比上年增长14.0%。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全市固定资产投资（不含农户）比上年增长19.1%。按产业划分，第一产业投资下降0.8%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第二产业投资增长25.6%，第三产业投资增长16.1%。按投资主体划分，民间投资增长17.4%。按投资领域划分，全年基础设施投资增长27.1%，工业投资增长25.5%。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全市房地产开发投资比上年增长2.6%。商品房销售面积521.7万平方米，下降19.9%；实现商品房销售额374.8亿元，下降20.6%。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全市亿元以上新开工项目702个，比上年下降6.0%，完成投资额增长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社会消费品零售总额2032.20亿元，比上年增长3.4%。其中，限额以上单位实现消费品零售额816.29亿元，增长15.9%。按经营地统计，城镇消费品市场实现零售额1873.02亿元，增长3.3%；乡村消费品市场实现零售额159.18亿元，增长4.7%。</w:t>
      </w:r>
    </w:p>
    <w:p>
      <w:pPr>
        <w:tabs>
          <w:tab w:val="left" w:pos="3030"/>
        </w:tabs>
        <w:spacing w:line="600" w:lineRule="exact"/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图</w:t>
      </w:r>
      <w:r>
        <w:rPr>
          <w:rFonts w:ascii="黑体" w:hAnsi="宋体" w:eastAsia="黑体" w:cs="宋体"/>
          <w:bCs/>
          <w:kern w:val="0"/>
          <w:sz w:val="28"/>
          <w:szCs w:val="28"/>
        </w:rPr>
        <w:t xml:space="preserve">3 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 2018-2022年襄阳市社会消费品零售总额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  <w:lang w:eastAsia="zh"/>
        </w:rPr>
        <w:t xml:space="preserve">      </w:t>
      </w:r>
      <w:r>
        <w:drawing>
          <wp:inline distT="0" distB="0" distL="114300" distR="114300">
            <wp:extent cx="4972050" cy="30289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全市进出口总额371.5亿元，比上年增长31.2%。其中，出口346.0亿元，增长37.2%；进口25.5亿元，下降17.6%。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全市新批外资项目21家，比上年增长50.0%。全市实际使用外资11.0亿美元，增长12.4%，其中，外商直接投资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FDI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美元。</w:t>
      </w:r>
    </w:p>
    <w:p>
      <w:pPr>
        <w:tabs>
          <w:tab w:val="left" w:pos="3030"/>
        </w:tabs>
        <w:spacing w:line="600" w:lineRule="exact"/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图</w:t>
      </w:r>
      <w:r>
        <w:rPr>
          <w:rFonts w:ascii="黑体" w:hAnsi="宋体" w:eastAsia="黑体" w:cs="宋体"/>
          <w:bCs/>
          <w:kern w:val="0"/>
          <w:sz w:val="28"/>
          <w:szCs w:val="28"/>
        </w:rPr>
        <w:t>4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  2018-2022年襄阳市进出口总额</w:t>
      </w:r>
    </w:p>
    <w:p>
      <w:pPr>
        <w:pStyle w:val="2"/>
        <w:ind w:left="0" w:leftChars="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010150" cy="2876550"/>
            <wp:effectExtent l="0" t="0" r="0" b="0"/>
            <wp:docPr id="4" name="图表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七、交通运输和邮电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全市公路通车里程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3238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等级公路32370公里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等级公路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占比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达99.96%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高速公路里程达816公里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上年增长10.9%。全市公路货运量2.66亿吨，下降14.2%；公路货物周转量488.74亿吨公里，下降11.0%。公路客运量1767.99万人，下降23.0%；公路旅客周转量11.96亿人公里，下降26.5%。港口完成货物吞吐量16.37万吨，增长343.6%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襄阳机场航线现已通达34座城市35个航点，全年保障运输航班13919架次，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下降26.6%；旅客吞吐量113.31万人次，下降35.0%；货邮吞吐量2019.90吨，下降34.0%。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全市邮政行业业务总量22.38亿元，比上年增长10.3%。其中，快递服务企业业务量9637.70万件，增长4.3%；业务收入11.87亿元，增长0.6%。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八、财政、金融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和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完成财政总收入400.6亿元，比上年增长8.5%。其中，地方一般公共预算收入220.9亿元，剔除增值税留抵退税因素，可比增长13.2%。地方一般公共预算收入中，税收收入167.7亿元，可比增长12.9%，占地方一般公共预算收入的比重为75.9%。全市一般公共预算支出630.5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增长4.3%。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市金融机构本外币存款余额5153.20亿元，比上年增长10.8%，比年初增加501.54亿元。其中，住户存款4017.69亿元，增加595.20亿元。金融机构本外币贷款余额3576.51亿元，比上年增长13.1%，比年初增加414.26亿元。其中，住户贷款1270.73亿元，增加96.87亿元；企（事）业单位贷款2304.64亿元，增加316.40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现保费收入138.87亿元，比上年增长2.5%。其中，财产险保费收入37.96亿元，增长12.4%；人身险保费收入100.92亿元，下降0.8%。支付各类赔款及给付42.24亿元，下降3.5%。其中，财产险赔付支出23.17亿元，增长2.3%；人身险赔付支出19.07亿元，下降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九、教育和科学技术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共有各级各类学校1762所，在校生94.39万人。其中，普通高校5所，在校生8.39万人；中等职业学校26所，在校生3.81万人；普通中学263所，在校生29.14万人；小学467所，在校生36.68万人；幼儿园994所，在校生16.29万人；特殊教育学校7所，在校生0.09万人。全市现有专任教师5.82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116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个项目被列入国家或省级科技计划项目。全年专利授权总量10593件，其中发明专利授权量948件，实用新型专利授权量9020件，外观设计专利授权量625件。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全市实现高新技术产业增加值1359.5亿元。其中，规模以上高新技术产业增加值1355.5亿元，比上年增长9.7%。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十、文化旅游、卫生和体育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文艺院团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8个，在市级文化行政主管部门登记注册的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35个，文化馆10个，博物馆12个，公共图书馆11个，藏书量达3825.2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全市共接待国内游客5772.31万人次，比上年下降8.9%；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国内旅游收入445.95亿元，下降10.2%。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共有卫生机构3478个，其中，医院、卫生院、社区卫生服务中心251个，疾病控制中心（防疫站）8个，专科疾病防治院（所、站）2个，妇幼保健院8个；卫生机构床位数4.26万张；卫生机构人员4.65万人，其中，卫生技术人员3.73万人，执业医师1.39万人，注册护师(士)1.7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全市全民健身体育设施新建项目360个，建成中心城区社区文体广场50个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新增智能化健身器材50套，开展全民健身线上线下赛事活动近300场，人均体育场地面积2.54平方米，《国民体质测定标准》合格以上人数比例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90.2%。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组队参加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湖北省第十六届运动会青少年体育类和社会俱乐部类比赛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，金牌数、奖牌数、团体总分均位列全省第三。在国际、国内各类比赛中，襄阳籍运动员共获世界冠军6个。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王宗源在第19届国际泳联世界游泳锦标赛上勇夺3金，在跳水世界杯上夺得2金，成为世界跳水三大赛的大满贯级选手。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十一、人口、人民生活和社会保障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年末全市户籍人口585.43万人。其中，出生人口3.1万人，人口出生率为5.4‰；死亡人口2.8万人，人口死亡率为4.8‰。年末全市常住人口527.6万人，常住人口城镇化率为63.2%。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全市城镇常住居民人均可支配收入43893元，比上年增长6.5%；农村常住居民人均可支配收入22497元，增长8.6%。城镇常住居民人均生活消费支出26262元，增长3.4%；农村常住居民人均生活消费支出17648元，增长7.2%。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城镇新增就业10.2万人，超额完成全年目标任务。失业保险参保人数47.8万人，城镇失业人员再就业4.3万人，就业困难人员就业2.9万人，开发公益性岗位9796个，发放创业担保贷款28.5亿元。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参加职工基本医疗保险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万人，参加城乡居民基本医疗保险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年末全市城镇居民最低生活保障对象1.9万人，农村居民最低生活保障人数7.9万人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各类养老机构238家，床位数4.2万张。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十二、资源环境和安全生产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全年市区环境空气质量优良天数为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"/>
        </w:rPr>
        <w:t>256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天，优良天数所占比例为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"/>
        </w:rPr>
        <w:t>70.1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%。全市省以上地表水考核断面水质优良率96.4%，国家地表水考核断面全部达到优良水平。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全市共发生各类生产安全事故115起，死亡99人，受伤45人，直接经济损失1529万元。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1.本公报2022年数据为统计快报数。图中201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—2019年地区生产总值、社会消费品零售总额数据根据第四次全国经济普查结果进行了修订；2020—2021年地区生产总值为年报核实数。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2.地区生产总值、各产业增加值绝对数按现价计算，增长速度按不变价格计算。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3.资料来源：本公报中价格、粮食、畜禽、城乡居民收支等数据来自国家统计局襄阳调查队；水产品数据来自市农业农村局；市场主体、专利等数据来自市市场监督管理局；外贸、外资等数据来自市商务局；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公路里程、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货运量、货物周转量、客运量、旅客周转量、港口货物吞吐量、民航等数据来自市交通运输局；邮政业务量、快递业务量等数据来自市邮政管理局，邮政行业业务总量按2020年不变单价计算；财政数据来自市财政局；金融数据来自人民银行襄阳市中心支行；保费数据来自襄阳银保监分局；教育数据来自市教育局；科技计划项目数据来自市科技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文艺院团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文化馆、博物馆、公共图书馆、旅游、体育等数据来自市文化和旅游局；卫生机构、床位等数据来自市卫生健康委员会；户籍人口数据来自市公安局；城镇新增就业、失业保险等数据来自市人力资源和社会保障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医疗保险数据来自市医保局；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低保、社会服务等数据来自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市民政局；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生态环境、环境监测等数据来自市生态环境局；安全生产数据来自市应急管理局；其他数据均来自市统计局。</w:t>
      </w:r>
    </w:p>
    <w:sectPr>
      <w:footerReference r:id="rId3" w:type="default"/>
      <w:footerReference r:id="rId4" w:type="even"/>
      <w:pgSz w:w="11906" w:h="16838"/>
      <w:pgMar w:top="1984" w:right="1587" w:bottom="1984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尚巍手书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Bookman Old Style">
    <w:panose1 w:val="02050804040505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showingPlcHdr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showingPlcHdr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F"/>
    <w:rsid w:val="00003E0E"/>
    <w:rsid w:val="000122CE"/>
    <w:rsid w:val="0002264B"/>
    <w:rsid w:val="00026A1B"/>
    <w:rsid w:val="00026D7F"/>
    <w:rsid w:val="0005487C"/>
    <w:rsid w:val="00054DD0"/>
    <w:rsid w:val="0006283D"/>
    <w:rsid w:val="000B5441"/>
    <w:rsid w:val="000C2D9B"/>
    <w:rsid w:val="000C5300"/>
    <w:rsid w:val="000C5D29"/>
    <w:rsid w:val="000D6D74"/>
    <w:rsid w:val="000E3BBC"/>
    <w:rsid w:val="000E3F46"/>
    <w:rsid w:val="00100193"/>
    <w:rsid w:val="00117BF0"/>
    <w:rsid w:val="001314B2"/>
    <w:rsid w:val="00137E3F"/>
    <w:rsid w:val="00152E22"/>
    <w:rsid w:val="00157A67"/>
    <w:rsid w:val="00165D7A"/>
    <w:rsid w:val="0017774A"/>
    <w:rsid w:val="001816A9"/>
    <w:rsid w:val="001977D6"/>
    <w:rsid w:val="001B209A"/>
    <w:rsid w:val="001C36FC"/>
    <w:rsid w:val="001C5314"/>
    <w:rsid w:val="001D42E7"/>
    <w:rsid w:val="0020235D"/>
    <w:rsid w:val="0020782E"/>
    <w:rsid w:val="00227864"/>
    <w:rsid w:val="00267BAA"/>
    <w:rsid w:val="00286F75"/>
    <w:rsid w:val="00292799"/>
    <w:rsid w:val="00297B70"/>
    <w:rsid w:val="002A5DCA"/>
    <w:rsid w:val="002B68C5"/>
    <w:rsid w:val="002C1016"/>
    <w:rsid w:val="002D66B1"/>
    <w:rsid w:val="002D72FC"/>
    <w:rsid w:val="002E0B8D"/>
    <w:rsid w:val="002E390E"/>
    <w:rsid w:val="002F0839"/>
    <w:rsid w:val="002F2593"/>
    <w:rsid w:val="002F5EF9"/>
    <w:rsid w:val="00320E7B"/>
    <w:rsid w:val="003416E3"/>
    <w:rsid w:val="00342B71"/>
    <w:rsid w:val="00357457"/>
    <w:rsid w:val="003625A8"/>
    <w:rsid w:val="00371B84"/>
    <w:rsid w:val="0037545C"/>
    <w:rsid w:val="0038235F"/>
    <w:rsid w:val="00384645"/>
    <w:rsid w:val="003D3296"/>
    <w:rsid w:val="003D722E"/>
    <w:rsid w:val="003F4558"/>
    <w:rsid w:val="00402B71"/>
    <w:rsid w:val="00404DB6"/>
    <w:rsid w:val="00407DF9"/>
    <w:rsid w:val="004271C3"/>
    <w:rsid w:val="004335F8"/>
    <w:rsid w:val="00446278"/>
    <w:rsid w:val="004523E1"/>
    <w:rsid w:val="00466980"/>
    <w:rsid w:val="00483B33"/>
    <w:rsid w:val="00492221"/>
    <w:rsid w:val="00494D47"/>
    <w:rsid w:val="004C206C"/>
    <w:rsid w:val="004D55EC"/>
    <w:rsid w:val="004E6196"/>
    <w:rsid w:val="004F50D0"/>
    <w:rsid w:val="00501661"/>
    <w:rsid w:val="00533874"/>
    <w:rsid w:val="00533905"/>
    <w:rsid w:val="005546DA"/>
    <w:rsid w:val="00573497"/>
    <w:rsid w:val="00576808"/>
    <w:rsid w:val="00581A8F"/>
    <w:rsid w:val="00591C67"/>
    <w:rsid w:val="00593152"/>
    <w:rsid w:val="005A6F8F"/>
    <w:rsid w:val="005B7E5A"/>
    <w:rsid w:val="005C05B6"/>
    <w:rsid w:val="005C5FB6"/>
    <w:rsid w:val="005C64C2"/>
    <w:rsid w:val="005D0901"/>
    <w:rsid w:val="005D70F4"/>
    <w:rsid w:val="005E4DE0"/>
    <w:rsid w:val="00600D75"/>
    <w:rsid w:val="006075A3"/>
    <w:rsid w:val="006139C3"/>
    <w:rsid w:val="00621F07"/>
    <w:rsid w:val="006726B1"/>
    <w:rsid w:val="00672763"/>
    <w:rsid w:val="00682296"/>
    <w:rsid w:val="006875CD"/>
    <w:rsid w:val="0069192F"/>
    <w:rsid w:val="006B6E0B"/>
    <w:rsid w:val="006B7FD8"/>
    <w:rsid w:val="006E3F64"/>
    <w:rsid w:val="006F29FB"/>
    <w:rsid w:val="00711850"/>
    <w:rsid w:val="007265D7"/>
    <w:rsid w:val="0075710C"/>
    <w:rsid w:val="00772778"/>
    <w:rsid w:val="00777237"/>
    <w:rsid w:val="00782796"/>
    <w:rsid w:val="00784265"/>
    <w:rsid w:val="0079092A"/>
    <w:rsid w:val="0079461B"/>
    <w:rsid w:val="007A4E6D"/>
    <w:rsid w:val="007A64CE"/>
    <w:rsid w:val="007B6934"/>
    <w:rsid w:val="007C0354"/>
    <w:rsid w:val="007E3A6F"/>
    <w:rsid w:val="007F733B"/>
    <w:rsid w:val="00804148"/>
    <w:rsid w:val="00834740"/>
    <w:rsid w:val="00843E7C"/>
    <w:rsid w:val="00882D49"/>
    <w:rsid w:val="008A5287"/>
    <w:rsid w:val="008E3736"/>
    <w:rsid w:val="008F76C2"/>
    <w:rsid w:val="00915D20"/>
    <w:rsid w:val="00936FB1"/>
    <w:rsid w:val="00941362"/>
    <w:rsid w:val="009414B7"/>
    <w:rsid w:val="009437AE"/>
    <w:rsid w:val="009446A2"/>
    <w:rsid w:val="009554B7"/>
    <w:rsid w:val="009648DA"/>
    <w:rsid w:val="00966004"/>
    <w:rsid w:val="0096701A"/>
    <w:rsid w:val="0097587B"/>
    <w:rsid w:val="00994AAB"/>
    <w:rsid w:val="009A0519"/>
    <w:rsid w:val="009B6C55"/>
    <w:rsid w:val="009D477B"/>
    <w:rsid w:val="00A147AD"/>
    <w:rsid w:val="00A562F2"/>
    <w:rsid w:val="00A63942"/>
    <w:rsid w:val="00A77BA5"/>
    <w:rsid w:val="00A800BE"/>
    <w:rsid w:val="00A875BF"/>
    <w:rsid w:val="00A93DCB"/>
    <w:rsid w:val="00A96FBC"/>
    <w:rsid w:val="00AA4B28"/>
    <w:rsid w:val="00AC10B0"/>
    <w:rsid w:val="00AC2557"/>
    <w:rsid w:val="00AD0923"/>
    <w:rsid w:val="00AD12AF"/>
    <w:rsid w:val="00AE2827"/>
    <w:rsid w:val="00AE4EDE"/>
    <w:rsid w:val="00AF7F49"/>
    <w:rsid w:val="00B03097"/>
    <w:rsid w:val="00B15550"/>
    <w:rsid w:val="00B336CE"/>
    <w:rsid w:val="00B40370"/>
    <w:rsid w:val="00B5393D"/>
    <w:rsid w:val="00B63EA9"/>
    <w:rsid w:val="00B6754E"/>
    <w:rsid w:val="00B70AA8"/>
    <w:rsid w:val="00B87F7A"/>
    <w:rsid w:val="00B94F26"/>
    <w:rsid w:val="00BA0AF0"/>
    <w:rsid w:val="00BC4B3C"/>
    <w:rsid w:val="00BD1318"/>
    <w:rsid w:val="00BF1256"/>
    <w:rsid w:val="00BF51E2"/>
    <w:rsid w:val="00BF7D88"/>
    <w:rsid w:val="00C02CB1"/>
    <w:rsid w:val="00C41356"/>
    <w:rsid w:val="00C45C90"/>
    <w:rsid w:val="00C51FE7"/>
    <w:rsid w:val="00C61CC8"/>
    <w:rsid w:val="00C75488"/>
    <w:rsid w:val="00C82551"/>
    <w:rsid w:val="00CA4713"/>
    <w:rsid w:val="00CC28DF"/>
    <w:rsid w:val="00CC2AF7"/>
    <w:rsid w:val="00CC3AD0"/>
    <w:rsid w:val="00CD246A"/>
    <w:rsid w:val="00CD7850"/>
    <w:rsid w:val="00CE1CE3"/>
    <w:rsid w:val="00CE2EA1"/>
    <w:rsid w:val="00CE5F89"/>
    <w:rsid w:val="00CE7748"/>
    <w:rsid w:val="00D0178D"/>
    <w:rsid w:val="00D07FC5"/>
    <w:rsid w:val="00D41F3A"/>
    <w:rsid w:val="00D56AA5"/>
    <w:rsid w:val="00D730C6"/>
    <w:rsid w:val="00D859EC"/>
    <w:rsid w:val="00DE6109"/>
    <w:rsid w:val="00DE7F72"/>
    <w:rsid w:val="00E01B3C"/>
    <w:rsid w:val="00E10E41"/>
    <w:rsid w:val="00E118EC"/>
    <w:rsid w:val="00E1611F"/>
    <w:rsid w:val="00E53C7B"/>
    <w:rsid w:val="00E6464E"/>
    <w:rsid w:val="00E8656B"/>
    <w:rsid w:val="00EB197B"/>
    <w:rsid w:val="00ED6D71"/>
    <w:rsid w:val="00EF03D9"/>
    <w:rsid w:val="00EF2009"/>
    <w:rsid w:val="00EF213B"/>
    <w:rsid w:val="00EF6ABF"/>
    <w:rsid w:val="00F162A7"/>
    <w:rsid w:val="00F24ED6"/>
    <w:rsid w:val="00F32047"/>
    <w:rsid w:val="00F36E64"/>
    <w:rsid w:val="00F41EB4"/>
    <w:rsid w:val="00F55E22"/>
    <w:rsid w:val="00F70FF7"/>
    <w:rsid w:val="00F8567F"/>
    <w:rsid w:val="00F949FF"/>
    <w:rsid w:val="00FB267D"/>
    <w:rsid w:val="00FB375B"/>
    <w:rsid w:val="00FC0623"/>
    <w:rsid w:val="00FC27FF"/>
    <w:rsid w:val="00FD1867"/>
    <w:rsid w:val="00FD2D67"/>
    <w:rsid w:val="00FD318A"/>
    <w:rsid w:val="2F3B8044"/>
    <w:rsid w:val="3BBFE417"/>
    <w:rsid w:val="3FA543BD"/>
    <w:rsid w:val="577EFCF4"/>
    <w:rsid w:val="5FBED6DC"/>
    <w:rsid w:val="6FBF7301"/>
    <w:rsid w:val="735BEB2F"/>
    <w:rsid w:val="773DE7D6"/>
    <w:rsid w:val="77FA3FF8"/>
    <w:rsid w:val="79F53C3B"/>
    <w:rsid w:val="7A9E1382"/>
    <w:rsid w:val="7EFBF138"/>
    <w:rsid w:val="7FBF9100"/>
    <w:rsid w:val="7FDD1760"/>
    <w:rsid w:val="7FF7AF8E"/>
    <w:rsid w:val="953AA1B5"/>
    <w:rsid w:val="959F74C9"/>
    <w:rsid w:val="B7DEEC87"/>
    <w:rsid w:val="BE9F7F42"/>
    <w:rsid w:val="CEC74B45"/>
    <w:rsid w:val="CFFF9CED"/>
    <w:rsid w:val="DFBF20C5"/>
    <w:rsid w:val="EAFF2403"/>
    <w:rsid w:val="F2FAE7EA"/>
    <w:rsid w:val="F7FFF6D7"/>
    <w:rsid w:val="FB37109F"/>
    <w:rsid w:val="FD15F23F"/>
    <w:rsid w:val="FD7EE19B"/>
    <w:rsid w:val="FEBDA082"/>
    <w:rsid w:val="FFFFF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字符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font51"/>
    <w:qFormat/>
    <w:uiPriority w:val="0"/>
    <w:rPr>
      <w:rFonts w:hint="eastAsia" w:ascii="楷体_GB2312" w:eastAsia="楷体_GB2312" w:cs="楷体_GB2312"/>
      <w:color w:val="000000"/>
      <w:sz w:val="44"/>
      <w:szCs w:val="44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9">
    <w:name w:val="NormalCharacter"/>
    <w:link w:val="20"/>
    <w:qFormat/>
    <w:locked/>
    <w:uiPriority w:val="0"/>
  </w:style>
  <w:style w:type="paragraph" w:customStyle="1" w:styleId="20">
    <w:name w:val="UserStyle_0"/>
    <w:basedOn w:val="1"/>
    <w:link w:val="19"/>
    <w:qFormat/>
    <w:uiPriority w:val="0"/>
    <w:pPr>
      <w:widowControl/>
      <w:jc w:val="left"/>
    </w:pPr>
  </w:style>
  <w:style w:type="paragraph" w:customStyle="1" w:styleId="21">
    <w:name w:val="正文 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image" Target="media/image1.png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4920;%20&#22312;%20&#35140;&#38451;&#24066;2021&#24180;&#22269;&#27665;&#32463;&#27982;&#21644;&#31038;&#20250;&#21457;&#23637;&#32479;&#35745;&#20844;&#25253;&#65288;&#23450;&#65289;.doc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4920;%20&#22312;%20&#35140;&#38451;&#24066;2021&#24180;&#22269;&#27665;&#32463;&#27982;&#21644;&#31038;&#20250;&#21457;&#23637;&#32479;&#35745;&#20844;&#25253;&#65288;&#23450;&#65289;.doc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>
        <c:manualLayout>
          <c:layoutTarget val="inner"/>
          <c:xMode val="edge"/>
          <c:yMode val="edge"/>
          <c:x val="0.09585"/>
          <c:y val="0.119666666666667"/>
          <c:w val="0.8724"/>
          <c:h val="0.770366666666667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Sheet1!$A$2</c:f>
              <c:strCache>
                <c:ptCount val="1"/>
                <c:pt idx="0">
                  <c:v>GDP（亿元）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2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4400.96</c:v>
                </c:pt>
                <c:pt idx="1">
                  <c:v>4812.84</c:v>
                </c:pt>
                <c:pt idx="2">
                  <c:v>4525.74</c:v>
                </c:pt>
                <c:pt idx="3">
                  <c:v>5358.43</c:v>
                </c:pt>
                <c:pt idx="4">
                  <c:v>5827.81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354513188"/>
        <c:axId val="21314510"/>
      </c:barChart>
      <c:catAx>
        <c:axId val="354513188"/>
        <c:scaling>
          <c:orientation val="minMax"/>
        </c:scaling>
        <c:delete val="false"/>
        <c:axPos val="b"/>
        <c:majorTickMark val="in"/>
        <c:minorTickMark val="in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21314510"/>
        <c:crosses val="autoZero"/>
        <c:auto val="true"/>
        <c:lblAlgn val="ctr"/>
        <c:lblOffset val="100"/>
        <c:noMultiLvlLbl val="false"/>
      </c:catAx>
      <c:valAx>
        <c:axId val="21314510"/>
        <c:scaling>
          <c:orientation val="minMax"/>
          <c:max val="7000"/>
        </c:scaling>
        <c:delete val="false"/>
        <c:axPos val="l"/>
        <c:numFmt formatCode="General" sourceLinked="true"/>
        <c:majorTickMark val="in"/>
        <c:minorTickMark val="none"/>
        <c:tickLblPos val="nextTo"/>
        <c:spPr>
          <a:noFill/>
          <a:ln w="9525" cmpd="sng">
            <a:solidFill>
              <a:schemeClr val="tx1"/>
            </a:solidFill>
            <a:prstDash val="solid"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3545131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</c:legendEntry>
      <c:layout>
        <c:manualLayout>
          <c:xMode val="edge"/>
          <c:yMode val="edge"/>
          <c:x val="0.411179636070053"/>
          <c:y val="0.0343527440301634"/>
          <c:w val="0.203"/>
          <c:h val="0.103833333333333"/>
        </c:manualLayout>
      </c:layout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宋体" panose="02010600030101010101" charset="-122"/>
              <a:ea typeface="宋体" panose="02010600030101010101" charset="-122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  <a:latin typeface="宋体" panose="02010600030101010101" charset="-122"/>
          <a:ea typeface="宋体" panose="02010600030101010101" charset="-122"/>
        </a:defRPr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>
        <c:manualLayout>
          <c:layoutTarget val="inner"/>
          <c:xMode val="edge"/>
          <c:yMode val="edge"/>
          <c:x val="0.100805555555556"/>
          <c:y val="0.191898148148148"/>
          <c:w val="0.858222222222222"/>
          <c:h val="0.697731481481481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'[工作表 在 襄阳市2021年国民经济和社会发展统计公报（定）.doc1]Sheet1'!$A$3</c:f>
              <c:strCache>
                <c:ptCount val="1"/>
                <c:pt idx="0">
                  <c:v>总额（亿元）</c:v>
                </c:pt>
              </c:strCache>
            </c:strRef>
          </c:tx>
          <c:spPr>
            <a:solidFill>
              <a:srgbClr val="4F81BD"/>
            </a:solidFill>
            <a:ln w="3175">
              <a:noFill/>
            </a:ln>
          </c:spPr>
          <c:invertIfNegative val="false"/>
          <c:dLbls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1200" b="0" i="0" u="none" strike="noStrike" kern="1200" cap="none" spc="0" normalizeH="0" baseline="0">
                        <a:solidFill>
                          <a:srgbClr val="000000"/>
                        </a:solidFill>
                        <a:uFill>
                          <a:solidFill>
                            <a:srgbClr val="000000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+mn-cs"/>
                      </a:defRPr>
                    </a:pPr>
                    <a:r>
                      <a:t>2032.2</a:t>
                    </a:r>
                    <a:r>
                      <a:rPr lang="en-US" altLang="zh-CN"/>
                      <a:t>0</a:t>
                    </a:r>
                    <a:endParaRPr lang="en-US" altLang="zh-CN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/>
              </c:extLst>
            </c:dLbl>
            <c:numFmt formatCode="General" sourceLinked="true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200" b="0" i="0" u="none" strike="noStrike" kern="1200" cap="none" spc="0" normalizeH="0" baseline="0">
                    <a:solidFill>
                      <a:srgbClr val="000000"/>
                    </a:solidFill>
                    <a:uFill>
                      <a:solidFill>
                        <a:srgbClr val="000000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'[工作表 在 襄阳市2021年国民经济和社会发展统计公报（定）.doc1]Sheet1'!$B$2:$F$2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'[工作表 在 襄阳市2021年国民经济和社会发展统计公报（定）.doc1]Sheet1'!$B$3:$F$3</c:f>
              <c:numCache>
                <c:formatCode>General</c:formatCode>
                <c:ptCount val="5"/>
                <c:pt idx="0">
                  <c:v>1747.86</c:v>
                </c:pt>
                <c:pt idx="1">
                  <c:v>1955.18</c:v>
                </c:pt>
                <c:pt idx="2">
                  <c:v>1567.26</c:v>
                </c:pt>
                <c:pt idx="3">
                  <c:v>1966.13</c:v>
                </c:pt>
                <c:pt idx="4">
                  <c:v>2032.2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-27"/>
        <c:axId val="252074893"/>
        <c:axId val="257720432"/>
      </c:barChart>
      <c:catAx>
        <c:axId val="252074893"/>
        <c:scaling>
          <c:orientation val="minMax"/>
        </c:scaling>
        <c:delete val="false"/>
        <c:axPos val="b"/>
        <c:majorTickMark val="in"/>
        <c:minorTickMark val="in"/>
        <c:tickLblPos val="nextTo"/>
        <c:spPr>
          <a:noFill/>
          <a:ln w="635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257720432"/>
        <c:crosses val="autoZero"/>
        <c:auto val="true"/>
        <c:lblAlgn val="ctr"/>
        <c:lblOffset val="100"/>
        <c:noMultiLvlLbl val="false"/>
      </c:catAx>
      <c:valAx>
        <c:axId val="257720432"/>
        <c:scaling>
          <c:orientation val="minMax"/>
          <c:max val="2500"/>
        </c:scaling>
        <c:delete val="false"/>
        <c:axPos val="l"/>
        <c:numFmt formatCode="General" sourceLinked="true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1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252074893"/>
        <c:crosses val="autoZero"/>
        <c:crossBetween val="between"/>
        <c:majorUnit val="500"/>
      </c:valAx>
      <c:spPr>
        <a:noFill/>
        <a:ln w="3175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true"/>
          <a:lstStyle/>
          <a:p>
            <a:pPr>
              <a:defRPr lang="zh-CN" sz="10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+mn-lt"/>
                <a:ea typeface="宋体" panose="02010600030101010101" charset="-122"/>
                <a:cs typeface="+mn-cs"/>
              </a:defRPr>
            </a:pPr>
          </a:p>
        </c:txPr>
      </c:legendEntry>
      <c:layout>
        <c:manualLayout>
          <c:xMode val="edge"/>
          <c:yMode val="edge"/>
          <c:x val="0.42125"/>
          <c:y val="0.0479166666666667"/>
          <c:w val="0.212222222222222"/>
          <c:h val="0.0858796296296296"/>
        </c:manualLayout>
      </c:layout>
      <c:overlay val="false"/>
      <c:spPr>
        <a:noFill/>
        <a:ln w="3175">
          <a:noFill/>
        </a:ln>
      </c:spPr>
      <c:txPr>
        <a:bodyPr rot="0" spcFirstLastPara="1" vertOverflow="ellipsis" vert="horz" wrap="square" anchor="ctr" anchorCtr="true"/>
        <a:lstStyle/>
        <a:p>
          <a:pPr>
            <a:defRPr lang="zh-CN" sz="1000" b="0" i="0" u="none" strike="noStrike" kern="1200" cap="none" spc="0" normalizeH="0" baseline="0">
              <a:solidFill>
                <a:srgbClr val="000000"/>
              </a:solidFill>
              <a:uFill>
                <a:solidFill>
                  <a:srgbClr val="595959">
                    <a:lumMod val="65000"/>
                    <a:lumOff val="35000"/>
                  </a:srgbClr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rgbClr val="FFFFFF"/>
    </a:solidFill>
    <a:ln w="9525" cap="flat" cmpd="sng" algn="ctr">
      <a:noFill/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false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>
        <c:manualLayout>
          <c:layoutTarget val="inner"/>
          <c:xMode val="edge"/>
          <c:yMode val="edge"/>
          <c:x val="0.094202296942023"/>
          <c:y val="0.173612764944034"/>
          <c:w val="0.875356302753563"/>
          <c:h val="0.689021195522743"/>
        </c:manualLayout>
      </c:layout>
      <c:barChart>
        <c:barDir val="col"/>
        <c:grouping val="stacked"/>
        <c:varyColors val="false"/>
        <c:ser>
          <c:idx val="0"/>
          <c:order val="0"/>
          <c:tx>
            <c:strRef>
              <c:f>'[工作表 在 襄阳市2021年国民经济和社会发展统计公报（定）.doc]Sheet1'!$B$3</c:f>
              <c:strCache>
                <c:ptCount val="1"/>
                <c:pt idx="0">
                  <c:v>出口额（亿元）</c:v>
                </c:pt>
              </c:strCache>
            </c:strRef>
          </c:tx>
          <c:spPr>
            <a:solidFill>
              <a:srgbClr val="4F81BD"/>
            </a:solidFill>
            <a:ln w="3175">
              <a:noFill/>
            </a:ln>
          </c:spPr>
          <c:invertIfNegative val="false"/>
          <c:dLbls>
            <c:dLbl>
              <c:idx val="0"/>
              <c:layout>
                <c:manualLayout>
                  <c:x val="0.0766569807665698"/>
                  <c:y val="-0.00547749464158133"/>
                </c:manualLayout>
              </c:layout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752732807527328"/>
                  <c:y val="0.00833531793284115"/>
                </c:manualLayout>
              </c:layout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720946299248002"/>
                  <c:y val="-0.00261967135032152"/>
                </c:manualLayout>
              </c:layout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789775726926662"/>
                  <c:y val="-0.00285782329125985"/>
                </c:manualLayout>
              </c:layout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687346063373459"/>
                  <c:y val="0.0161174253121712"/>
                </c:manualLayout>
              </c:layout>
              <c:numFmt formatCode="General" sourceLinked="tru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true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200" b="0" i="0" u="none" strike="noStrike" kern="1200" cap="none" spc="0" normalizeH="0" baseline="0">
                    <a:solidFill>
                      <a:srgbClr val="000000"/>
                    </a:solidFill>
                    <a:uFill>
                      <a:solidFill>
                        <a:srgbClr val="000000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</a:p>
            </c:txPr>
            <c:dLblPos val="ct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'[工作表 在 襄阳市2021年国民经济和社会发展统计公报（定）.doc]Sheet1'!$C$2:$G$2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'[工作表 在 襄阳市2021年国民经济和社会发展统计公报（定）.doc]Sheet1'!$C$3:$G$3</c:f>
              <c:numCache>
                <c:formatCode>0.0_ </c:formatCode>
                <c:ptCount val="5"/>
                <c:pt idx="0">
                  <c:v>159.2</c:v>
                </c:pt>
                <c:pt idx="1">
                  <c:v>197.1</c:v>
                </c:pt>
                <c:pt idx="2">
                  <c:v>197.9</c:v>
                </c:pt>
                <c:pt idx="3">
                  <c:v>252.1</c:v>
                </c:pt>
                <c:pt idx="4">
                  <c:v>346</c:v>
                </c:pt>
              </c:numCache>
            </c:numRef>
          </c:val>
        </c:ser>
        <c:ser>
          <c:idx val="1"/>
          <c:order val="1"/>
          <c:tx>
            <c:strRef>
              <c:f>'[工作表 在 襄阳市2021年国民经济和社会发展统计公报（定）.doc]Sheet1'!$B$4</c:f>
              <c:strCache>
                <c:ptCount val="1"/>
                <c:pt idx="0">
                  <c:v>进口额（亿元）</c:v>
                </c:pt>
              </c:strCache>
            </c:strRef>
          </c:tx>
          <c:spPr>
            <a:solidFill>
              <a:srgbClr val="FFC000"/>
            </a:solidFill>
            <a:ln w="3175">
              <a:noFill/>
            </a:ln>
          </c:spPr>
          <c:invertIfNegative val="false"/>
          <c:dLbls>
            <c:dLbl>
              <c:idx val="0"/>
              <c:layout>
                <c:manualLayout>
                  <c:x val="0.073336100733361"/>
                  <c:y val="0.00833531793284115"/>
                </c:manualLayout>
              </c:layout>
              <c:numFmt formatCode="#,##0.0_);[Red]\(#,##0.0\)" sourceLinked="fals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t" anchorCtr="fals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783174207831742"/>
                  <c:y val="0.0026196713503215"/>
                </c:manualLayout>
              </c:layout>
              <c:numFmt formatCode="#,##0.0_);[Red]\(#,##0.0\)" sourceLinked="fals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71952400719524"/>
                  <c:y val="0"/>
                </c:manualLayout>
              </c:layout>
              <c:numFmt formatCode="#,##0.0_);[Red]\(#,##0.0\)" sourceLinked="fals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718140307181403"/>
                  <c:y val="-0.00547749464158133"/>
                </c:manualLayout>
              </c:layout>
              <c:numFmt formatCode="#,##0.0_);[Red]\(#,##0.0\)" sourceLinked="fals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723149301231493"/>
                  <c:y val="0.00547749464158133"/>
                </c:manualLayout>
              </c:layout>
              <c:numFmt formatCode="#,##0.0_);[Red]\(#,##0.0\)" sourceLinked="false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true"/>
                <a:lstStyle/>
                <a:p>
                  <a:pPr>
                    <a:defRPr lang="zh-CN" sz="1200" b="0" i="0" u="none" strike="noStrike" kern="1200" cap="none" spc="0" normalizeH="0" baseline="0">
                      <a:solidFill>
                        <a:srgbClr val="000000"/>
                      </a:solidFill>
                      <a:uFill>
                        <a:solidFill>
                          <a:srgbClr val="000000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);[Red]\(#,##0.0\)" sourceLinked="false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200" b="0" i="0" u="none" strike="noStrike" kern="1200" cap="none" spc="0" normalizeH="0" baseline="0">
                    <a:solidFill>
                      <a:srgbClr val="000000"/>
                    </a:solidFill>
                    <a:uFill>
                      <a:solidFill>
                        <a:srgbClr val="000000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</a:p>
            </c:txPr>
            <c:dLblPos val="ct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'[工作表 在 襄阳市2021年国民经济和社会发展统计公报（定）.doc]Sheet1'!$C$2:$G$2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'[工作表 在 襄阳市2021年国民经济和社会发展统计公报（定）.doc]Sheet1'!$C$4:$G$4</c:f>
              <c:numCache>
                <c:formatCode>0.0_ </c:formatCode>
                <c:ptCount val="5"/>
                <c:pt idx="0">
                  <c:v>29.1</c:v>
                </c:pt>
                <c:pt idx="1">
                  <c:v>30.2</c:v>
                </c:pt>
                <c:pt idx="2">
                  <c:v>20.3</c:v>
                </c:pt>
                <c:pt idx="3">
                  <c:v>31</c:v>
                </c:pt>
                <c:pt idx="4">
                  <c:v>25.5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100"/>
        <c:axId val="373273933"/>
        <c:axId val="453015819"/>
      </c:barChart>
      <c:catAx>
        <c:axId val="373273933"/>
        <c:scaling>
          <c:orientation val="minMax"/>
        </c:scaling>
        <c:delete val="false"/>
        <c:axPos val="b"/>
        <c:majorTickMark val="in"/>
        <c:minorTickMark val="in"/>
        <c:tickLblPos val="nextTo"/>
        <c:spPr>
          <a:noFill/>
          <a:ln w="635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453015819"/>
        <c:crossesAt val="0"/>
        <c:auto val="true"/>
        <c:lblAlgn val="ctr"/>
        <c:lblOffset val="100"/>
        <c:noMultiLvlLbl val="false"/>
      </c:catAx>
      <c:valAx>
        <c:axId val="453015819"/>
        <c:scaling>
          <c:orientation val="minMax"/>
        </c:scaling>
        <c:delete val="false"/>
        <c:axPos val="l"/>
        <c:numFmt formatCode="0_);[Red]\(0\)" sourceLinked="false"/>
        <c:majorTickMark val="in"/>
        <c:minorTickMark val="in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1" vertOverflow="ellipsis" vert="horz" wrap="square" anchor="ctr" anchorCtr="true"/>
          <a:lstStyle/>
          <a:p>
            <a:pPr>
              <a:defRPr lang="zh-CN" sz="12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373273933"/>
        <c:crosses val="autoZero"/>
        <c:crossBetween val="between"/>
        <c:majorUnit val="100"/>
        <c:minorUnit val="50"/>
      </c:val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0.328151034802423"/>
          <c:y val="0.0152059225706531"/>
          <c:w val="0.386536511156187"/>
          <c:h val="0.0739671257219014"/>
        </c:manualLayout>
      </c:layout>
      <c:overlay val="false"/>
      <c:spPr>
        <a:noFill/>
        <a:ln w="3175">
          <a:noFill/>
        </a:ln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rgbClr val="FFFFFF"/>
    </a:solidFill>
    <a:ln w="9525" cap="flat" cmpd="sng" algn="ctr">
      <a:noFill/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</Words>
  <Characters>630</Characters>
  <Lines>5</Lines>
  <Paragraphs>1</Paragraphs>
  <TotalTime>16</TotalTime>
  <ScaleCrop>false</ScaleCrop>
  <LinksUpToDate>false</LinksUpToDate>
  <CharactersWithSpaces>739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2020-03-15T09:39:00Z</dcterms:created>
  <dc:creator>hsy</dc:creator>
  <cp:lastModifiedBy>刘高宏</cp:lastModifiedBy>
  <cp:lastPrinted>2023-03-30T18:25:00Z</cp:lastPrinted>
  <dcterms:modified xsi:type="dcterms:W3CDTF">2023-03-30T10:35:25Z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1AA192B1B632B016720FE3636A0E50B5</vt:lpwstr>
  </property>
</Properties>
</file>