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6885" w:rsidRDefault="007E707F">
      <w:pPr>
        <w:widowControl w:val="0"/>
        <w:ind w:firstLineChars="0" w:firstLine="0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2020</w:t>
      </w:r>
      <w:r>
        <w:rPr>
          <w:rFonts w:eastAsia="方正小标宋简体"/>
          <w:b/>
          <w:sz w:val="44"/>
          <w:szCs w:val="44"/>
        </w:rPr>
        <w:t>年恩施州国民经济和社会发展统计公报</w:t>
      </w:r>
    </w:p>
    <w:p w:rsidR="00EA6885" w:rsidRDefault="007E707F">
      <w:pPr>
        <w:widowControl w:val="0"/>
        <w:spacing w:line="560" w:lineRule="exact"/>
        <w:ind w:firstLineChars="0" w:firstLine="0"/>
        <w:jc w:val="center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恩</w:t>
      </w:r>
      <w:r>
        <w:rPr>
          <w:rFonts w:eastAsia="楷体" w:hint="eastAsia"/>
          <w:sz w:val="32"/>
          <w:szCs w:val="32"/>
        </w:rPr>
        <w:t xml:space="preserve">  </w:t>
      </w:r>
      <w:r>
        <w:rPr>
          <w:rFonts w:eastAsia="楷体"/>
          <w:sz w:val="32"/>
          <w:szCs w:val="32"/>
        </w:rPr>
        <w:t>施</w:t>
      </w:r>
      <w:r>
        <w:rPr>
          <w:rFonts w:eastAsia="楷体" w:hint="eastAsia"/>
          <w:sz w:val="32"/>
          <w:szCs w:val="32"/>
        </w:rPr>
        <w:t xml:space="preserve">  </w:t>
      </w:r>
      <w:r>
        <w:rPr>
          <w:rFonts w:eastAsia="楷体"/>
          <w:sz w:val="32"/>
          <w:szCs w:val="32"/>
        </w:rPr>
        <w:t>州</w:t>
      </w:r>
      <w:r>
        <w:rPr>
          <w:rFonts w:eastAsia="楷体" w:hint="eastAsia"/>
          <w:sz w:val="32"/>
          <w:szCs w:val="32"/>
        </w:rPr>
        <w:t xml:space="preserve">  </w:t>
      </w:r>
      <w:r>
        <w:rPr>
          <w:rFonts w:eastAsia="楷体"/>
          <w:sz w:val="32"/>
          <w:szCs w:val="32"/>
        </w:rPr>
        <w:t>统</w:t>
      </w:r>
      <w:r>
        <w:rPr>
          <w:rFonts w:eastAsia="楷体" w:hint="eastAsia"/>
          <w:sz w:val="32"/>
          <w:szCs w:val="32"/>
        </w:rPr>
        <w:t xml:space="preserve">  </w:t>
      </w:r>
      <w:r>
        <w:rPr>
          <w:rFonts w:eastAsia="楷体"/>
          <w:sz w:val="32"/>
          <w:szCs w:val="32"/>
        </w:rPr>
        <w:t>计</w:t>
      </w:r>
      <w:r>
        <w:rPr>
          <w:rFonts w:eastAsia="楷体" w:hint="eastAsia"/>
          <w:sz w:val="32"/>
          <w:szCs w:val="32"/>
        </w:rPr>
        <w:t xml:space="preserve">  </w:t>
      </w:r>
      <w:r>
        <w:rPr>
          <w:rFonts w:eastAsia="楷体"/>
          <w:sz w:val="32"/>
          <w:szCs w:val="32"/>
        </w:rPr>
        <w:t>局</w:t>
      </w:r>
      <w:r>
        <w:rPr>
          <w:rFonts w:eastAsia="楷体"/>
          <w:sz w:val="32"/>
          <w:szCs w:val="32"/>
        </w:rPr>
        <w:t xml:space="preserve"> </w:t>
      </w:r>
    </w:p>
    <w:p w:rsidR="00EA6885" w:rsidRDefault="007E707F">
      <w:pPr>
        <w:widowControl w:val="0"/>
        <w:spacing w:line="560" w:lineRule="exact"/>
        <w:ind w:firstLineChars="0" w:firstLine="0"/>
        <w:jc w:val="center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国家统计局恩施州调查队</w:t>
      </w:r>
    </w:p>
    <w:p w:rsidR="00EA6885" w:rsidRDefault="007E707F">
      <w:pPr>
        <w:widowControl w:val="0"/>
        <w:spacing w:line="560" w:lineRule="exact"/>
        <w:ind w:firstLineChars="0" w:firstLine="0"/>
        <w:jc w:val="center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2021</w:t>
      </w:r>
      <w:r>
        <w:rPr>
          <w:rFonts w:eastAsia="楷体"/>
          <w:sz w:val="32"/>
          <w:szCs w:val="32"/>
        </w:rPr>
        <w:t>年</w:t>
      </w:r>
      <w:r>
        <w:rPr>
          <w:rFonts w:eastAsia="楷体"/>
          <w:sz w:val="32"/>
          <w:szCs w:val="32"/>
        </w:rPr>
        <w:t>4</w:t>
      </w:r>
      <w:r>
        <w:rPr>
          <w:rFonts w:eastAsia="楷体"/>
          <w:sz w:val="32"/>
          <w:szCs w:val="32"/>
        </w:rPr>
        <w:t>月</w:t>
      </w:r>
      <w:r>
        <w:rPr>
          <w:rFonts w:eastAsia="楷体" w:hint="eastAsia"/>
          <w:sz w:val="32"/>
          <w:szCs w:val="32"/>
        </w:rPr>
        <w:t>1</w:t>
      </w:r>
      <w:r>
        <w:rPr>
          <w:rFonts w:eastAsia="楷体"/>
          <w:sz w:val="32"/>
          <w:szCs w:val="32"/>
        </w:rPr>
        <w:t>日</w:t>
      </w:r>
    </w:p>
    <w:p w:rsidR="00EA6885" w:rsidRDefault="00EA6885">
      <w:pPr>
        <w:widowControl w:val="0"/>
        <w:spacing w:line="540" w:lineRule="exact"/>
        <w:ind w:firstLine="576"/>
        <w:jc w:val="center"/>
        <w:rPr>
          <w:rFonts w:eastAsia="华文中宋"/>
          <w:sz w:val="30"/>
          <w:szCs w:val="30"/>
        </w:rPr>
      </w:pPr>
    </w:p>
    <w:p w:rsidR="00EA6885" w:rsidRDefault="007E707F">
      <w:pPr>
        <w:widowControl w:val="0"/>
        <w:adjustRightInd w:val="0"/>
        <w:snapToGrid w:val="0"/>
        <w:spacing w:line="560" w:lineRule="exact"/>
        <w:ind w:firstLine="61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年，面对艰巨的</w:t>
      </w:r>
      <w:r>
        <w:rPr>
          <w:rFonts w:eastAsia="仿宋_GB2312" w:hint="eastAsia"/>
          <w:sz w:val="32"/>
          <w:szCs w:val="32"/>
        </w:rPr>
        <w:t>经济</w:t>
      </w:r>
      <w:r>
        <w:rPr>
          <w:rFonts w:eastAsia="仿宋_GB2312"/>
          <w:sz w:val="32"/>
          <w:szCs w:val="32"/>
        </w:rPr>
        <w:t>社会发展任务和各种风险挑战，特别是新冠肺炎疫情和罕见汛情冲击，全州上下坚持以习近平新时代中国特色社会主义思想为指导，认真贯彻落实党的十九大和十九届二中、三中、四中、五中全会精神，坚持稳中求进总基调，统筹推进战</w:t>
      </w:r>
      <w:proofErr w:type="gramStart"/>
      <w:r>
        <w:rPr>
          <w:rFonts w:eastAsia="仿宋_GB2312"/>
          <w:sz w:val="32"/>
          <w:szCs w:val="32"/>
        </w:rPr>
        <w:t>疫</w:t>
      </w:r>
      <w:proofErr w:type="gramEnd"/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战贫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战洪与经济社会发展</w:t>
      </w:r>
      <w:r>
        <w:rPr>
          <w:rFonts w:eastAsia="仿宋_GB2312" w:hint="eastAsia"/>
          <w:sz w:val="32"/>
          <w:szCs w:val="32"/>
        </w:rPr>
        <w:t>各项</w:t>
      </w:r>
      <w:r>
        <w:rPr>
          <w:rFonts w:eastAsia="仿宋_GB2312"/>
          <w:sz w:val="32"/>
          <w:szCs w:val="32"/>
        </w:rPr>
        <w:t>工作，全州经济复苏步伐坚定，社会大局和谐安定，民生福祉</w:t>
      </w:r>
      <w:r>
        <w:rPr>
          <w:rFonts w:eastAsia="仿宋_GB2312" w:hint="eastAsia"/>
          <w:sz w:val="32"/>
          <w:szCs w:val="32"/>
        </w:rPr>
        <w:t>稳步</w:t>
      </w:r>
      <w:r>
        <w:rPr>
          <w:rFonts w:eastAsia="仿宋_GB2312"/>
          <w:sz w:val="32"/>
          <w:szCs w:val="32"/>
        </w:rPr>
        <w:t>提升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绝对贫困和区域性整体贫困</w:t>
      </w:r>
      <w:r>
        <w:rPr>
          <w:rFonts w:eastAsia="仿宋_GB2312" w:hint="eastAsia"/>
          <w:sz w:val="32"/>
          <w:szCs w:val="32"/>
        </w:rPr>
        <w:t>得到</w:t>
      </w:r>
      <w:r>
        <w:rPr>
          <w:rFonts w:eastAsia="仿宋_GB2312" w:hint="eastAsia"/>
          <w:bCs/>
          <w:kern w:val="0"/>
          <w:sz w:val="32"/>
          <w:szCs w:val="32"/>
        </w:rPr>
        <w:t>历史性消除。</w:t>
      </w:r>
    </w:p>
    <w:p w:rsidR="00EA6885" w:rsidRDefault="007E707F">
      <w:pPr>
        <w:widowControl w:val="0"/>
        <w:adjustRightInd w:val="0"/>
        <w:snapToGrid w:val="0"/>
        <w:spacing w:line="560" w:lineRule="exact"/>
        <w:ind w:firstLine="616"/>
        <w:outlineLvl w:val="0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一、综合</w:t>
      </w:r>
    </w:p>
    <w:p w:rsidR="00EA6885" w:rsidRDefault="007E707F">
      <w:pPr>
        <w:widowControl w:val="0"/>
        <w:adjustRightInd w:val="0"/>
        <w:snapToGrid w:val="0"/>
        <w:spacing w:line="560" w:lineRule="exact"/>
        <w:ind w:firstLine="536"/>
        <w:rPr>
          <w:rFonts w:eastAsia="仿宋_GB2312"/>
          <w:sz w:val="32"/>
          <w:szCs w:val="32"/>
        </w:rPr>
      </w:pPr>
      <w:r>
        <w:rPr>
          <w:rFonts w:eastAsia="仿宋_GB2312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295275</wp:posOffset>
            </wp:positionH>
            <wp:positionV relativeFrom="margin">
              <wp:posOffset>6099810</wp:posOffset>
            </wp:positionV>
            <wp:extent cx="4734560" cy="2343150"/>
            <wp:effectExtent l="0" t="0" r="0" b="0"/>
            <wp:wrapTopAndBottom/>
            <wp:docPr id="8" name="对象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rFonts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年，全州实现生产总值</w:t>
      </w:r>
      <w:r>
        <w:rPr>
          <w:rFonts w:eastAsia="仿宋_GB2312"/>
          <w:sz w:val="32"/>
          <w:szCs w:val="32"/>
        </w:rPr>
        <w:t>1117.7</w:t>
      </w:r>
      <w:r>
        <w:rPr>
          <w:rFonts w:eastAsia="仿宋_GB2312"/>
          <w:sz w:val="32"/>
          <w:szCs w:val="32"/>
        </w:rPr>
        <w:t>亿元，比上年下降</w:t>
      </w:r>
      <w:r>
        <w:rPr>
          <w:rFonts w:eastAsia="仿宋_GB2312"/>
          <w:sz w:val="32"/>
          <w:szCs w:val="32"/>
        </w:rPr>
        <w:t>4.2%</w:t>
      </w:r>
      <w:r>
        <w:rPr>
          <w:rFonts w:eastAsia="仿宋_GB2312"/>
          <w:sz w:val="32"/>
          <w:szCs w:val="32"/>
        </w:rPr>
        <w:t>。其中，第一产业增加值</w:t>
      </w:r>
      <w:r>
        <w:rPr>
          <w:rFonts w:eastAsia="仿宋_GB2312"/>
          <w:sz w:val="32"/>
          <w:szCs w:val="32"/>
        </w:rPr>
        <w:t>202.39</w:t>
      </w:r>
      <w:r>
        <w:rPr>
          <w:rFonts w:eastAsia="仿宋_GB2312"/>
          <w:sz w:val="32"/>
          <w:szCs w:val="32"/>
        </w:rPr>
        <w:t>亿元，增长</w:t>
      </w:r>
      <w:r>
        <w:rPr>
          <w:rFonts w:eastAsia="仿宋_GB2312"/>
          <w:sz w:val="32"/>
          <w:szCs w:val="32"/>
        </w:rPr>
        <w:t>0.6%</w:t>
      </w:r>
      <w:r>
        <w:rPr>
          <w:rFonts w:eastAsia="仿宋_GB2312"/>
          <w:sz w:val="32"/>
          <w:szCs w:val="32"/>
        </w:rPr>
        <w:t>；第二产业增加值</w:t>
      </w:r>
      <w:r>
        <w:rPr>
          <w:rFonts w:eastAsia="仿宋_GB2312"/>
          <w:sz w:val="32"/>
          <w:szCs w:val="32"/>
        </w:rPr>
        <w:t>252.28</w:t>
      </w:r>
      <w:r>
        <w:rPr>
          <w:rFonts w:eastAsia="仿宋_GB2312"/>
          <w:sz w:val="32"/>
          <w:szCs w:val="32"/>
        </w:rPr>
        <w:t>亿元，下降</w:t>
      </w:r>
      <w:r>
        <w:rPr>
          <w:rFonts w:eastAsia="仿宋_GB2312"/>
          <w:sz w:val="32"/>
          <w:szCs w:val="32"/>
        </w:rPr>
        <w:t>8.1%</w:t>
      </w:r>
      <w:r>
        <w:rPr>
          <w:rFonts w:eastAsia="仿宋_GB2312"/>
          <w:sz w:val="32"/>
          <w:szCs w:val="32"/>
        </w:rPr>
        <w:t>；第三产业增加值</w:t>
      </w:r>
      <w:r>
        <w:rPr>
          <w:rFonts w:eastAsia="仿宋_GB2312"/>
          <w:sz w:val="32"/>
          <w:szCs w:val="32"/>
        </w:rPr>
        <w:t>663.03</w:t>
      </w:r>
      <w:r>
        <w:rPr>
          <w:rFonts w:eastAsia="仿宋_GB2312"/>
          <w:sz w:val="32"/>
          <w:szCs w:val="32"/>
        </w:rPr>
        <w:t>亿元，下降</w:t>
      </w:r>
      <w:r>
        <w:rPr>
          <w:rFonts w:eastAsia="仿宋_GB2312"/>
          <w:sz w:val="32"/>
          <w:szCs w:val="32"/>
        </w:rPr>
        <w:t>3.7%</w:t>
      </w:r>
      <w:r>
        <w:rPr>
          <w:rFonts w:eastAsia="仿宋_GB2312"/>
          <w:sz w:val="32"/>
          <w:szCs w:val="32"/>
        </w:rPr>
        <w:t>。</w:t>
      </w:r>
    </w:p>
    <w:p w:rsidR="00EA6885" w:rsidRDefault="007E707F">
      <w:pPr>
        <w:widowControl w:val="0"/>
        <w:adjustRightInd w:val="0"/>
        <w:snapToGrid w:val="0"/>
        <w:spacing w:line="560" w:lineRule="exact"/>
        <w:ind w:firstLine="61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“</w:t>
      </w:r>
      <w:r>
        <w:rPr>
          <w:rFonts w:eastAsia="仿宋_GB2312"/>
          <w:sz w:val="32"/>
          <w:szCs w:val="32"/>
        </w:rPr>
        <w:t>十三五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时期全州经济总量实现了千亿元的历史性跨越，五年平均增长</w:t>
      </w:r>
      <w:r>
        <w:rPr>
          <w:rFonts w:eastAsia="仿宋_GB2312"/>
          <w:sz w:val="32"/>
          <w:szCs w:val="32"/>
        </w:rPr>
        <w:t>4.4%</w:t>
      </w:r>
      <w:r>
        <w:rPr>
          <w:rFonts w:eastAsia="仿宋_GB2312"/>
          <w:sz w:val="32"/>
          <w:szCs w:val="32"/>
        </w:rPr>
        <w:t>。三次产业结构由</w:t>
      </w:r>
      <w:r>
        <w:rPr>
          <w:rFonts w:eastAsia="仿宋_GB2312" w:hint="eastAsia"/>
          <w:sz w:val="32"/>
          <w:szCs w:val="32"/>
        </w:rPr>
        <w:t>“十二五”期末的</w:t>
      </w:r>
      <w:r>
        <w:rPr>
          <w:rFonts w:eastAsia="仿宋_GB2312"/>
          <w:sz w:val="32"/>
          <w:szCs w:val="32"/>
        </w:rPr>
        <w:t>18.3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30.1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51.6</w:t>
      </w:r>
      <w:r>
        <w:rPr>
          <w:rFonts w:eastAsia="仿宋_GB2312"/>
          <w:sz w:val="32"/>
          <w:szCs w:val="32"/>
        </w:rPr>
        <w:t>调整为</w:t>
      </w:r>
      <w:r>
        <w:rPr>
          <w:rFonts w:eastAsia="仿宋_GB2312"/>
          <w:sz w:val="32"/>
          <w:szCs w:val="32"/>
        </w:rPr>
        <w:t>18.1:22.6:59.3</w:t>
      </w:r>
      <w:r>
        <w:rPr>
          <w:rFonts w:eastAsia="仿宋_GB2312"/>
          <w:sz w:val="32"/>
          <w:szCs w:val="32"/>
        </w:rPr>
        <w:t>，第一产业占比下降</w:t>
      </w:r>
      <w:r>
        <w:rPr>
          <w:rFonts w:eastAsia="仿宋_GB2312"/>
          <w:sz w:val="32"/>
          <w:szCs w:val="32"/>
        </w:rPr>
        <w:t>0.2</w:t>
      </w:r>
      <w:r>
        <w:rPr>
          <w:rFonts w:eastAsia="仿宋_GB2312"/>
          <w:sz w:val="32"/>
          <w:szCs w:val="32"/>
        </w:rPr>
        <w:t>个百分点，第二产业占比下降</w:t>
      </w:r>
      <w:r>
        <w:rPr>
          <w:rFonts w:eastAsia="仿宋_GB2312"/>
          <w:sz w:val="32"/>
          <w:szCs w:val="32"/>
        </w:rPr>
        <w:t>7.5</w:t>
      </w:r>
      <w:r>
        <w:rPr>
          <w:rFonts w:eastAsia="仿宋_GB2312"/>
          <w:sz w:val="32"/>
          <w:szCs w:val="32"/>
        </w:rPr>
        <w:t>个百分点，第三产业</w:t>
      </w:r>
      <w:r>
        <w:rPr>
          <w:rFonts w:eastAsia="仿宋_GB2312" w:hint="eastAsia"/>
          <w:sz w:val="32"/>
          <w:szCs w:val="32"/>
        </w:rPr>
        <w:t>占比</w:t>
      </w:r>
      <w:r>
        <w:rPr>
          <w:rFonts w:eastAsia="仿宋_GB2312"/>
          <w:sz w:val="32"/>
          <w:szCs w:val="32"/>
        </w:rPr>
        <w:t>提升</w:t>
      </w:r>
      <w:r>
        <w:rPr>
          <w:rFonts w:eastAsia="仿宋_GB2312"/>
          <w:sz w:val="32"/>
          <w:szCs w:val="32"/>
        </w:rPr>
        <w:t>7.7</w:t>
      </w:r>
      <w:r>
        <w:rPr>
          <w:rFonts w:eastAsia="仿宋_GB2312"/>
          <w:sz w:val="32"/>
          <w:szCs w:val="32"/>
        </w:rPr>
        <w:t>个百分点。</w:t>
      </w:r>
    </w:p>
    <w:p w:rsidR="00EA6885" w:rsidRDefault="007E707F">
      <w:pPr>
        <w:widowControl w:val="0"/>
        <w:adjustRightInd w:val="0"/>
        <w:snapToGrid w:val="0"/>
        <w:spacing w:line="560" w:lineRule="exact"/>
        <w:ind w:firstLine="536"/>
        <w:rPr>
          <w:rFonts w:eastAsia="仿宋_GB2312"/>
          <w:sz w:val="32"/>
          <w:szCs w:val="32"/>
        </w:rPr>
      </w:pPr>
      <w:r>
        <w:rPr>
          <w:rFonts w:eastAsia="仿宋_GB2312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318135</wp:posOffset>
            </wp:positionH>
            <wp:positionV relativeFrom="page">
              <wp:posOffset>2571750</wp:posOffset>
            </wp:positionV>
            <wp:extent cx="4683125" cy="2632710"/>
            <wp:effectExtent l="0" t="0" r="0" b="0"/>
            <wp:wrapTopAndBottom/>
            <wp:docPr id="9" name="对象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rFonts w:eastAsia="仿宋_GB2312"/>
          <w:sz w:val="32"/>
          <w:szCs w:val="32"/>
        </w:rPr>
        <w:t>全州年末户籍人口</w:t>
      </w:r>
      <w:r>
        <w:rPr>
          <w:rFonts w:eastAsia="仿宋_GB2312"/>
          <w:sz w:val="32"/>
          <w:szCs w:val="32"/>
        </w:rPr>
        <w:t>402.22</w:t>
      </w:r>
      <w:r>
        <w:rPr>
          <w:rFonts w:eastAsia="仿宋_GB2312"/>
          <w:sz w:val="32"/>
          <w:szCs w:val="32"/>
        </w:rPr>
        <w:t>万人，其中，男性</w:t>
      </w:r>
      <w:r>
        <w:rPr>
          <w:rFonts w:eastAsia="仿宋_GB2312"/>
          <w:sz w:val="32"/>
          <w:szCs w:val="32"/>
        </w:rPr>
        <w:t>209.46</w:t>
      </w:r>
      <w:r>
        <w:rPr>
          <w:rFonts w:eastAsia="仿宋_GB2312"/>
          <w:sz w:val="32"/>
          <w:szCs w:val="32"/>
        </w:rPr>
        <w:t>万人，占总人口的</w:t>
      </w:r>
      <w:r>
        <w:rPr>
          <w:rFonts w:eastAsia="仿宋_GB2312"/>
          <w:sz w:val="32"/>
          <w:szCs w:val="32"/>
        </w:rPr>
        <w:t>52.1%</w:t>
      </w:r>
      <w:r>
        <w:rPr>
          <w:rFonts w:eastAsia="仿宋_GB2312"/>
          <w:sz w:val="32"/>
          <w:szCs w:val="32"/>
        </w:rPr>
        <w:t>；女性</w:t>
      </w:r>
      <w:r>
        <w:rPr>
          <w:rFonts w:eastAsia="仿宋_GB2312"/>
          <w:sz w:val="32"/>
          <w:szCs w:val="32"/>
        </w:rPr>
        <w:t>192.76</w:t>
      </w:r>
      <w:r>
        <w:rPr>
          <w:rFonts w:eastAsia="仿宋_GB2312"/>
          <w:sz w:val="32"/>
          <w:szCs w:val="32"/>
        </w:rPr>
        <w:t>万人，占总人口的</w:t>
      </w:r>
      <w:r>
        <w:rPr>
          <w:rFonts w:eastAsia="仿宋_GB2312"/>
          <w:sz w:val="32"/>
          <w:szCs w:val="32"/>
        </w:rPr>
        <w:t>47.9%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kern w:val="0"/>
          <w:sz w:val="32"/>
          <w:szCs w:val="32"/>
        </w:rPr>
        <w:t>全年</w:t>
      </w:r>
      <w:r>
        <w:rPr>
          <w:rFonts w:eastAsia="仿宋_GB2312" w:hint="eastAsia"/>
          <w:kern w:val="0"/>
          <w:sz w:val="32"/>
          <w:szCs w:val="32"/>
        </w:rPr>
        <w:t>出生人口</w:t>
      </w:r>
      <w:r>
        <w:rPr>
          <w:rFonts w:eastAsia="仿宋_GB2312" w:hint="eastAsia"/>
          <w:kern w:val="0"/>
          <w:sz w:val="32"/>
          <w:szCs w:val="32"/>
        </w:rPr>
        <w:t>3.21</w:t>
      </w:r>
      <w:r>
        <w:rPr>
          <w:rFonts w:eastAsia="仿宋_GB2312" w:hint="eastAsia"/>
          <w:kern w:val="0"/>
          <w:sz w:val="32"/>
          <w:szCs w:val="32"/>
        </w:rPr>
        <w:t>万人，</w:t>
      </w:r>
      <w:r>
        <w:rPr>
          <w:rFonts w:eastAsia="仿宋_GB2312"/>
          <w:kern w:val="0"/>
          <w:sz w:val="32"/>
          <w:szCs w:val="32"/>
        </w:rPr>
        <w:t>出生率为</w:t>
      </w:r>
      <w:r>
        <w:rPr>
          <w:rFonts w:eastAsia="仿宋_GB2312"/>
          <w:kern w:val="0"/>
          <w:sz w:val="32"/>
          <w:szCs w:val="32"/>
        </w:rPr>
        <w:t>7.49‰</w:t>
      </w:r>
      <w:r>
        <w:rPr>
          <w:rFonts w:eastAsia="仿宋_GB2312" w:hint="eastAsia"/>
          <w:kern w:val="0"/>
          <w:sz w:val="32"/>
          <w:szCs w:val="32"/>
        </w:rPr>
        <w:t>；</w:t>
      </w:r>
      <w:r>
        <w:rPr>
          <w:rFonts w:eastAsia="仿宋_GB2312"/>
          <w:kern w:val="0"/>
          <w:sz w:val="32"/>
          <w:szCs w:val="32"/>
        </w:rPr>
        <w:t>人口死亡率为</w:t>
      </w:r>
      <w:r>
        <w:rPr>
          <w:rFonts w:eastAsia="仿宋_GB2312"/>
          <w:kern w:val="0"/>
          <w:sz w:val="32"/>
          <w:szCs w:val="32"/>
        </w:rPr>
        <w:t>2.04‰</w:t>
      </w:r>
      <w:r>
        <w:rPr>
          <w:rFonts w:eastAsia="仿宋_GB2312" w:hint="eastAsia"/>
          <w:kern w:val="0"/>
          <w:sz w:val="32"/>
          <w:szCs w:val="32"/>
        </w:rPr>
        <w:t>；</w:t>
      </w:r>
      <w:r>
        <w:rPr>
          <w:rFonts w:eastAsia="仿宋_GB2312"/>
          <w:kern w:val="0"/>
          <w:sz w:val="32"/>
          <w:szCs w:val="32"/>
        </w:rPr>
        <w:t>人口自然增长率为</w:t>
      </w:r>
      <w:r>
        <w:rPr>
          <w:rFonts w:eastAsia="仿宋_GB2312"/>
          <w:kern w:val="0"/>
          <w:sz w:val="32"/>
          <w:szCs w:val="32"/>
        </w:rPr>
        <w:t>5.45‰</w:t>
      </w:r>
      <w:r>
        <w:rPr>
          <w:rFonts w:eastAsia="仿宋_GB2312"/>
          <w:kern w:val="0"/>
          <w:sz w:val="32"/>
          <w:szCs w:val="32"/>
        </w:rPr>
        <w:t>。</w:t>
      </w:r>
    </w:p>
    <w:p w:rsidR="00EA6885" w:rsidRDefault="007E707F">
      <w:pPr>
        <w:widowControl w:val="0"/>
        <w:adjustRightInd w:val="0"/>
        <w:snapToGrid w:val="0"/>
        <w:spacing w:line="560" w:lineRule="exact"/>
        <w:ind w:firstLine="61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就业形势保持稳定。年末城镇登记失业率为</w:t>
      </w:r>
      <w:r>
        <w:rPr>
          <w:rFonts w:eastAsia="仿宋_GB2312"/>
          <w:kern w:val="0"/>
          <w:sz w:val="32"/>
          <w:szCs w:val="32"/>
        </w:rPr>
        <w:t>3.53%</w:t>
      </w:r>
      <w:r>
        <w:rPr>
          <w:rFonts w:eastAsia="仿宋_GB2312"/>
          <w:kern w:val="0"/>
          <w:sz w:val="32"/>
          <w:szCs w:val="32"/>
        </w:rPr>
        <w:t>。全年城镇新增就业人员</w:t>
      </w:r>
      <w:r>
        <w:rPr>
          <w:rFonts w:eastAsia="仿宋_GB2312"/>
          <w:kern w:val="0"/>
          <w:sz w:val="32"/>
          <w:szCs w:val="32"/>
        </w:rPr>
        <w:t>3.75</w:t>
      </w:r>
      <w:r>
        <w:rPr>
          <w:rFonts w:eastAsia="仿宋_GB2312"/>
          <w:kern w:val="0"/>
          <w:sz w:val="32"/>
          <w:szCs w:val="32"/>
        </w:rPr>
        <w:t>万人</w:t>
      </w:r>
      <w:r>
        <w:rPr>
          <w:rFonts w:eastAsia="仿宋_GB2312" w:hint="eastAsia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超额完成全年目标任务。城镇失业人员再就业</w:t>
      </w:r>
      <w:r>
        <w:rPr>
          <w:rFonts w:eastAsia="仿宋_GB2312"/>
          <w:kern w:val="0"/>
          <w:sz w:val="32"/>
          <w:szCs w:val="32"/>
        </w:rPr>
        <w:t>1.18</w:t>
      </w:r>
      <w:r>
        <w:rPr>
          <w:rFonts w:eastAsia="仿宋_GB2312"/>
          <w:kern w:val="0"/>
          <w:sz w:val="32"/>
          <w:szCs w:val="32"/>
        </w:rPr>
        <w:t>万人，就业困难人员再就业</w:t>
      </w:r>
      <w:r>
        <w:rPr>
          <w:rFonts w:eastAsia="仿宋_GB2312"/>
          <w:kern w:val="0"/>
          <w:sz w:val="32"/>
          <w:szCs w:val="32"/>
        </w:rPr>
        <w:t>0.78</w:t>
      </w:r>
      <w:r>
        <w:rPr>
          <w:rFonts w:eastAsia="仿宋_GB2312"/>
          <w:kern w:val="0"/>
          <w:sz w:val="32"/>
          <w:szCs w:val="32"/>
        </w:rPr>
        <w:t>万人，扶持创业</w:t>
      </w:r>
      <w:r>
        <w:rPr>
          <w:rFonts w:eastAsia="仿宋_GB2312"/>
          <w:kern w:val="0"/>
          <w:sz w:val="32"/>
          <w:szCs w:val="32"/>
        </w:rPr>
        <w:t>0.48</w:t>
      </w:r>
      <w:r>
        <w:rPr>
          <w:rFonts w:eastAsia="仿宋_GB2312"/>
          <w:kern w:val="0"/>
          <w:sz w:val="32"/>
          <w:szCs w:val="32"/>
        </w:rPr>
        <w:t>万人，带动就业</w:t>
      </w:r>
      <w:r>
        <w:rPr>
          <w:rFonts w:eastAsia="仿宋_GB2312"/>
          <w:kern w:val="0"/>
          <w:sz w:val="32"/>
          <w:szCs w:val="32"/>
        </w:rPr>
        <w:t>1.34</w:t>
      </w:r>
      <w:r>
        <w:rPr>
          <w:rFonts w:eastAsia="仿宋_GB2312"/>
          <w:kern w:val="0"/>
          <w:sz w:val="32"/>
          <w:szCs w:val="32"/>
        </w:rPr>
        <w:t>万人。全州外出农民工</w:t>
      </w:r>
      <w:r>
        <w:rPr>
          <w:rFonts w:eastAsia="仿宋_GB2312"/>
          <w:kern w:val="0"/>
          <w:sz w:val="32"/>
          <w:szCs w:val="32"/>
        </w:rPr>
        <w:t>89.21</w:t>
      </w:r>
      <w:r>
        <w:rPr>
          <w:rFonts w:eastAsia="仿宋_GB2312"/>
          <w:kern w:val="0"/>
          <w:sz w:val="32"/>
          <w:szCs w:val="32"/>
        </w:rPr>
        <w:t>万人</w:t>
      </w:r>
      <w:r>
        <w:rPr>
          <w:rFonts w:eastAsia="仿宋_GB2312" w:hint="eastAsia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其中，省内乡外</w:t>
      </w:r>
      <w:r>
        <w:rPr>
          <w:rFonts w:eastAsia="仿宋_GB2312" w:hint="eastAsia"/>
          <w:kern w:val="0"/>
          <w:sz w:val="32"/>
          <w:szCs w:val="32"/>
        </w:rPr>
        <w:t>就业</w:t>
      </w:r>
      <w:r>
        <w:rPr>
          <w:rFonts w:eastAsia="仿宋_GB2312"/>
          <w:kern w:val="0"/>
          <w:sz w:val="32"/>
          <w:szCs w:val="32"/>
        </w:rPr>
        <w:t>32.28</w:t>
      </w:r>
      <w:r>
        <w:rPr>
          <w:rFonts w:eastAsia="仿宋_GB2312"/>
          <w:kern w:val="0"/>
          <w:sz w:val="32"/>
          <w:szCs w:val="32"/>
        </w:rPr>
        <w:t>万人，省外</w:t>
      </w:r>
      <w:r>
        <w:rPr>
          <w:rFonts w:eastAsia="仿宋_GB2312" w:hint="eastAsia"/>
          <w:kern w:val="0"/>
          <w:sz w:val="32"/>
          <w:szCs w:val="32"/>
        </w:rPr>
        <w:t>就</w:t>
      </w:r>
      <w:r>
        <w:rPr>
          <w:rFonts w:eastAsia="仿宋_GB2312" w:hint="eastAsia"/>
          <w:kern w:val="0"/>
          <w:sz w:val="32"/>
          <w:szCs w:val="32"/>
        </w:rPr>
        <w:t>业</w:t>
      </w:r>
      <w:r>
        <w:rPr>
          <w:rFonts w:eastAsia="仿宋_GB2312"/>
          <w:kern w:val="0"/>
          <w:sz w:val="32"/>
          <w:szCs w:val="32"/>
        </w:rPr>
        <w:t>56.87</w:t>
      </w:r>
      <w:r>
        <w:rPr>
          <w:rFonts w:eastAsia="仿宋_GB2312"/>
          <w:kern w:val="0"/>
          <w:sz w:val="32"/>
          <w:szCs w:val="32"/>
        </w:rPr>
        <w:t>万人。</w:t>
      </w:r>
    </w:p>
    <w:p w:rsidR="00EA6885" w:rsidRDefault="007E707F">
      <w:pPr>
        <w:widowControl w:val="0"/>
        <w:adjustRightInd w:val="0"/>
        <w:snapToGrid w:val="0"/>
        <w:spacing w:line="560" w:lineRule="exact"/>
        <w:ind w:firstLine="61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价格运行基本平稳。</w:t>
      </w:r>
      <w:r>
        <w:rPr>
          <w:rFonts w:eastAsia="仿宋_GB2312" w:hint="eastAsia"/>
          <w:kern w:val="0"/>
          <w:sz w:val="32"/>
          <w:szCs w:val="32"/>
        </w:rPr>
        <w:t>全年</w:t>
      </w:r>
      <w:r>
        <w:rPr>
          <w:rFonts w:eastAsia="仿宋_GB2312"/>
          <w:kern w:val="0"/>
          <w:sz w:val="32"/>
          <w:szCs w:val="32"/>
        </w:rPr>
        <w:t>居民消费价格上涨</w:t>
      </w:r>
      <w:r>
        <w:rPr>
          <w:rFonts w:eastAsia="仿宋_GB2312"/>
          <w:kern w:val="0"/>
          <w:sz w:val="32"/>
          <w:szCs w:val="32"/>
        </w:rPr>
        <w:t>2.2%</w:t>
      </w:r>
      <w:r>
        <w:rPr>
          <w:rFonts w:eastAsia="仿宋_GB2312" w:hint="eastAsia"/>
          <w:kern w:val="0"/>
          <w:sz w:val="32"/>
          <w:szCs w:val="32"/>
        </w:rPr>
        <w:t>，比上年回落</w:t>
      </w:r>
      <w:r>
        <w:rPr>
          <w:rFonts w:eastAsia="仿宋_GB2312" w:hint="eastAsia"/>
          <w:kern w:val="0"/>
          <w:sz w:val="32"/>
          <w:szCs w:val="32"/>
        </w:rPr>
        <w:t>0.9</w:t>
      </w:r>
      <w:r>
        <w:rPr>
          <w:rFonts w:eastAsia="仿宋_GB2312" w:hint="eastAsia"/>
          <w:kern w:val="0"/>
          <w:sz w:val="32"/>
          <w:szCs w:val="32"/>
        </w:rPr>
        <w:t>个百分点</w:t>
      </w:r>
      <w:r>
        <w:rPr>
          <w:rFonts w:eastAsia="仿宋_GB2312"/>
          <w:kern w:val="0"/>
          <w:sz w:val="32"/>
          <w:szCs w:val="32"/>
        </w:rPr>
        <w:t>。构成居民消费价格的八大类商品价格涨跌幅</w:t>
      </w:r>
      <w:r>
        <w:rPr>
          <w:rFonts w:eastAsia="仿宋_GB2312"/>
          <w:kern w:val="0"/>
          <w:sz w:val="32"/>
          <w:szCs w:val="32"/>
        </w:rPr>
        <w:lastRenderedPageBreak/>
        <w:t>度为：食品烟酒价格上涨</w:t>
      </w:r>
      <w:r>
        <w:rPr>
          <w:rFonts w:eastAsia="仿宋_GB2312"/>
          <w:kern w:val="0"/>
          <w:sz w:val="32"/>
          <w:szCs w:val="32"/>
        </w:rPr>
        <w:t>9.8%</w:t>
      </w:r>
      <w:r>
        <w:rPr>
          <w:rFonts w:eastAsia="仿宋_GB2312"/>
          <w:kern w:val="0"/>
          <w:sz w:val="32"/>
          <w:szCs w:val="32"/>
        </w:rPr>
        <w:t>，衣着价格下跌</w:t>
      </w:r>
      <w:r>
        <w:rPr>
          <w:rFonts w:eastAsia="仿宋_GB2312"/>
          <w:kern w:val="0"/>
          <w:sz w:val="32"/>
          <w:szCs w:val="32"/>
        </w:rPr>
        <w:t>0.6%</w:t>
      </w:r>
      <w:r>
        <w:rPr>
          <w:rFonts w:eastAsia="仿宋_GB2312"/>
          <w:kern w:val="0"/>
          <w:sz w:val="32"/>
          <w:szCs w:val="32"/>
        </w:rPr>
        <w:t>，居住价格下跌</w:t>
      </w:r>
      <w:r>
        <w:rPr>
          <w:rFonts w:eastAsia="仿宋_GB2312"/>
          <w:kern w:val="0"/>
          <w:sz w:val="32"/>
          <w:szCs w:val="32"/>
        </w:rPr>
        <w:t>3.1%</w:t>
      </w:r>
      <w:r>
        <w:rPr>
          <w:rFonts w:eastAsia="仿宋_GB2312"/>
          <w:kern w:val="0"/>
          <w:sz w:val="32"/>
          <w:szCs w:val="32"/>
        </w:rPr>
        <w:t>，生活用品及服务价格上涨</w:t>
      </w:r>
      <w:r>
        <w:rPr>
          <w:rFonts w:eastAsia="仿宋_GB2312"/>
          <w:kern w:val="0"/>
          <w:sz w:val="32"/>
          <w:szCs w:val="32"/>
        </w:rPr>
        <w:t>0.2%</w:t>
      </w:r>
      <w:r>
        <w:rPr>
          <w:rFonts w:eastAsia="仿宋_GB2312"/>
          <w:kern w:val="0"/>
          <w:sz w:val="32"/>
          <w:szCs w:val="32"/>
        </w:rPr>
        <w:t>，交通和通信价格下跌</w:t>
      </w:r>
      <w:r>
        <w:rPr>
          <w:rFonts w:eastAsia="仿宋_GB2312"/>
          <w:kern w:val="0"/>
          <w:sz w:val="32"/>
          <w:szCs w:val="32"/>
        </w:rPr>
        <w:t>4</w:t>
      </w:r>
      <w:r>
        <w:rPr>
          <w:rFonts w:eastAsia="仿宋_GB2312" w:hint="eastAsia"/>
          <w:kern w:val="0"/>
          <w:sz w:val="32"/>
          <w:szCs w:val="32"/>
        </w:rPr>
        <w:t>.0</w:t>
      </w:r>
      <w:r>
        <w:rPr>
          <w:rFonts w:eastAsia="仿宋_GB2312"/>
          <w:kern w:val="0"/>
          <w:sz w:val="32"/>
          <w:szCs w:val="32"/>
        </w:rPr>
        <w:t>%</w:t>
      </w:r>
      <w:r>
        <w:rPr>
          <w:rFonts w:eastAsia="仿宋_GB2312"/>
          <w:kern w:val="0"/>
          <w:sz w:val="32"/>
          <w:szCs w:val="32"/>
        </w:rPr>
        <w:t>，教育文化和娱乐价格上涨</w:t>
      </w:r>
      <w:r>
        <w:rPr>
          <w:rFonts w:eastAsia="仿宋_GB2312"/>
          <w:kern w:val="0"/>
          <w:sz w:val="32"/>
          <w:szCs w:val="32"/>
        </w:rPr>
        <w:t>1.7%</w:t>
      </w:r>
      <w:r>
        <w:rPr>
          <w:rFonts w:eastAsia="仿宋_GB2312"/>
          <w:kern w:val="0"/>
          <w:sz w:val="32"/>
          <w:szCs w:val="32"/>
        </w:rPr>
        <w:t>，医疗保健价格上涨</w:t>
      </w:r>
      <w:r>
        <w:rPr>
          <w:rFonts w:eastAsia="仿宋_GB2312"/>
          <w:kern w:val="0"/>
          <w:sz w:val="32"/>
          <w:szCs w:val="32"/>
        </w:rPr>
        <w:t>0.7%</w:t>
      </w:r>
      <w:r>
        <w:rPr>
          <w:rFonts w:eastAsia="仿宋_GB2312"/>
          <w:kern w:val="0"/>
          <w:sz w:val="32"/>
          <w:szCs w:val="32"/>
        </w:rPr>
        <w:t>，其他用品和服务价格上涨</w:t>
      </w:r>
      <w:r>
        <w:rPr>
          <w:rFonts w:eastAsia="仿宋_GB2312"/>
          <w:kern w:val="0"/>
          <w:sz w:val="32"/>
          <w:szCs w:val="32"/>
        </w:rPr>
        <w:t>0.3%</w:t>
      </w:r>
      <w:r>
        <w:rPr>
          <w:rFonts w:eastAsia="仿宋_GB2312"/>
          <w:kern w:val="0"/>
          <w:sz w:val="32"/>
          <w:szCs w:val="32"/>
        </w:rPr>
        <w:t>。</w:t>
      </w:r>
      <w:r>
        <w:rPr>
          <w:rFonts w:eastAsia="仿宋_GB2312" w:hint="eastAsia"/>
          <w:kern w:val="0"/>
          <w:sz w:val="32"/>
          <w:szCs w:val="32"/>
        </w:rPr>
        <w:t>全</w:t>
      </w:r>
      <w:r>
        <w:rPr>
          <w:rFonts w:eastAsia="仿宋_GB2312" w:hint="eastAsia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>商品零售价格上涨</w:t>
      </w:r>
      <w:r>
        <w:rPr>
          <w:rFonts w:eastAsia="仿宋_GB2312"/>
          <w:kern w:val="0"/>
          <w:sz w:val="32"/>
          <w:szCs w:val="32"/>
        </w:rPr>
        <w:t>1.2%</w:t>
      </w:r>
      <w:r>
        <w:rPr>
          <w:rFonts w:eastAsia="仿宋_GB2312" w:hint="eastAsia"/>
          <w:kern w:val="0"/>
          <w:sz w:val="32"/>
          <w:szCs w:val="32"/>
        </w:rPr>
        <w:t>，比上年回落</w:t>
      </w:r>
      <w:r>
        <w:rPr>
          <w:rFonts w:eastAsia="仿宋_GB2312" w:hint="eastAsia"/>
          <w:kern w:val="0"/>
          <w:sz w:val="32"/>
          <w:szCs w:val="32"/>
        </w:rPr>
        <w:t>0.7</w:t>
      </w:r>
      <w:r>
        <w:rPr>
          <w:rFonts w:eastAsia="仿宋_GB2312" w:hint="eastAsia"/>
          <w:kern w:val="0"/>
          <w:sz w:val="32"/>
          <w:szCs w:val="32"/>
        </w:rPr>
        <w:t>个百分点</w:t>
      </w:r>
      <w:r>
        <w:rPr>
          <w:rFonts w:eastAsia="仿宋_GB2312"/>
          <w:kern w:val="0"/>
          <w:sz w:val="32"/>
          <w:szCs w:val="32"/>
        </w:rPr>
        <w:t>。</w:t>
      </w:r>
    </w:p>
    <w:p w:rsidR="00EA6885" w:rsidRDefault="007E707F">
      <w:pPr>
        <w:widowControl w:val="0"/>
        <w:adjustRightInd w:val="0"/>
        <w:snapToGrid w:val="0"/>
        <w:spacing w:line="560" w:lineRule="exact"/>
        <w:ind w:firstLine="616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noProof/>
          <w:kern w:val="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220345</wp:posOffset>
            </wp:positionH>
            <wp:positionV relativeFrom="page">
              <wp:posOffset>2910840</wp:posOffset>
            </wp:positionV>
            <wp:extent cx="4754880" cy="2280285"/>
            <wp:effectExtent l="0" t="0" r="0" b="0"/>
            <wp:wrapTopAndBottom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rPr>
          <w:rFonts w:eastAsia="仿宋_GB2312"/>
          <w:kern w:val="0"/>
          <w:sz w:val="32"/>
          <w:szCs w:val="32"/>
        </w:rPr>
        <w:t>市场主体不断发展。年末全州实有市场主体</w:t>
      </w:r>
      <w:r>
        <w:rPr>
          <w:rFonts w:eastAsia="仿宋_GB2312"/>
          <w:kern w:val="0"/>
          <w:sz w:val="32"/>
          <w:szCs w:val="32"/>
        </w:rPr>
        <w:t>32.83</w:t>
      </w:r>
      <w:r>
        <w:rPr>
          <w:rFonts w:eastAsia="仿宋_GB2312"/>
          <w:kern w:val="0"/>
          <w:sz w:val="32"/>
          <w:szCs w:val="32"/>
        </w:rPr>
        <w:t>万户，比上年增长</w:t>
      </w:r>
      <w:r>
        <w:rPr>
          <w:rFonts w:eastAsia="仿宋_GB2312"/>
          <w:kern w:val="0"/>
          <w:sz w:val="32"/>
          <w:szCs w:val="32"/>
        </w:rPr>
        <w:t>12.2%</w:t>
      </w:r>
      <w:r>
        <w:rPr>
          <w:rFonts w:eastAsia="仿宋_GB2312"/>
          <w:kern w:val="0"/>
          <w:sz w:val="32"/>
          <w:szCs w:val="32"/>
        </w:rPr>
        <w:t>。</w:t>
      </w:r>
      <w:r>
        <w:rPr>
          <w:rFonts w:eastAsia="仿宋_GB2312" w:hint="eastAsia"/>
          <w:kern w:val="0"/>
          <w:sz w:val="32"/>
          <w:szCs w:val="32"/>
        </w:rPr>
        <w:t>其中，</w:t>
      </w:r>
      <w:r>
        <w:rPr>
          <w:rFonts w:eastAsia="仿宋_GB2312"/>
          <w:kern w:val="0"/>
          <w:sz w:val="32"/>
          <w:szCs w:val="32"/>
        </w:rPr>
        <w:t>实有企业类市</w:t>
      </w:r>
      <w:r>
        <w:rPr>
          <w:rFonts w:eastAsia="仿宋_GB2312"/>
          <w:kern w:val="0"/>
          <w:sz w:val="32"/>
          <w:szCs w:val="32"/>
        </w:rPr>
        <w:t>场主体</w:t>
      </w:r>
      <w:r>
        <w:rPr>
          <w:rFonts w:eastAsia="仿宋_GB2312"/>
          <w:kern w:val="0"/>
          <w:sz w:val="32"/>
          <w:szCs w:val="32"/>
        </w:rPr>
        <w:t>6.33</w:t>
      </w:r>
      <w:r>
        <w:rPr>
          <w:rFonts w:eastAsia="仿宋_GB2312"/>
          <w:kern w:val="0"/>
          <w:sz w:val="32"/>
          <w:szCs w:val="32"/>
        </w:rPr>
        <w:t>万户</w:t>
      </w:r>
      <w:r>
        <w:rPr>
          <w:rFonts w:eastAsia="仿宋_GB2312" w:hint="eastAsia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实有个体工商户</w:t>
      </w:r>
      <w:r>
        <w:rPr>
          <w:rFonts w:eastAsia="仿宋_GB2312"/>
          <w:kern w:val="0"/>
          <w:sz w:val="32"/>
          <w:szCs w:val="32"/>
        </w:rPr>
        <w:t>25.16</w:t>
      </w:r>
      <w:r>
        <w:rPr>
          <w:rFonts w:eastAsia="仿宋_GB2312"/>
          <w:kern w:val="0"/>
          <w:sz w:val="32"/>
          <w:szCs w:val="32"/>
        </w:rPr>
        <w:t>万户，农民专业合作社</w:t>
      </w:r>
      <w:r>
        <w:rPr>
          <w:rFonts w:eastAsia="仿宋_GB2312"/>
          <w:kern w:val="0"/>
          <w:sz w:val="32"/>
          <w:szCs w:val="32"/>
        </w:rPr>
        <w:t>1.34</w:t>
      </w:r>
      <w:r>
        <w:rPr>
          <w:rFonts w:eastAsia="仿宋_GB2312"/>
          <w:kern w:val="0"/>
          <w:sz w:val="32"/>
          <w:szCs w:val="32"/>
        </w:rPr>
        <w:t>万户。</w:t>
      </w:r>
      <w:r>
        <w:rPr>
          <w:rFonts w:eastAsia="仿宋_GB2312" w:hint="eastAsia"/>
          <w:kern w:val="0"/>
          <w:sz w:val="32"/>
          <w:szCs w:val="32"/>
        </w:rPr>
        <w:t>全年</w:t>
      </w:r>
      <w:r>
        <w:rPr>
          <w:rFonts w:eastAsia="仿宋_GB2312"/>
          <w:kern w:val="0"/>
          <w:sz w:val="32"/>
          <w:szCs w:val="32"/>
        </w:rPr>
        <w:t>新登记各类市场主体</w:t>
      </w:r>
      <w:r>
        <w:rPr>
          <w:rFonts w:eastAsia="仿宋_GB2312"/>
          <w:kern w:val="0"/>
          <w:sz w:val="32"/>
          <w:szCs w:val="32"/>
        </w:rPr>
        <w:t>6.04</w:t>
      </w:r>
      <w:r>
        <w:rPr>
          <w:rFonts w:eastAsia="仿宋_GB2312"/>
          <w:kern w:val="0"/>
          <w:sz w:val="32"/>
          <w:szCs w:val="32"/>
        </w:rPr>
        <w:t>万户，增长</w:t>
      </w:r>
      <w:r>
        <w:rPr>
          <w:rFonts w:eastAsia="仿宋_GB2312"/>
          <w:kern w:val="0"/>
          <w:sz w:val="32"/>
          <w:szCs w:val="32"/>
        </w:rPr>
        <w:t>11.</w:t>
      </w:r>
      <w:r>
        <w:rPr>
          <w:rFonts w:eastAsia="仿宋_GB2312" w:hint="eastAsia"/>
          <w:kern w:val="0"/>
          <w:sz w:val="32"/>
          <w:szCs w:val="32"/>
        </w:rPr>
        <w:t>7</w:t>
      </w:r>
      <w:r>
        <w:rPr>
          <w:rFonts w:eastAsia="仿宋_GB2312"/>
          <w:kern w:val="0"/>
          <w:sz w:val="32"/>
          <w:szCs w:val="32"/>
        </w:rPr>
        <w:t>%</w:t>
      </w:r>
      <w:r>
        <w:rPr>
          <w:rFonts w:eastAsia="仿宋_GB2312"/>
          <w:kern w:val="0"/>
          <w:sz w:val="32"/>
          <w:szCs w:val="32"/>
        </w:rPr>
        <w:t>。其中，新登记企业类市场主体</w:t>
      </w:r>
      <w:r>
        <w:rPr>
          <w:rFonts w:eastAsia="仿宋_GB2312"/>
          <w:kern w:val="0"/>
          <w:sz w:val="32"/>
          <w:szCs w:val="32"/>
        </w:rPr>
        <w:t>1.2</w:t>
      </w:r>
      <w:r>
        <w:rPr>
          <w:rFonts w:eastAsia="仿宋_GB2312"/>
          <w:kern w:val="0"/>
          <w:sz w:val="32"/>
          <w:szCs w:val="32"/>
        </w:rPr>
        <w:t>万户，增长</w:t>
      </w:r>
      <w:r>
        <w:rPr>
          <w:rFonts w:eastAsia="仿宋_GB2312"/>
          <w:kern w:val="0"/>
          <w:sz w:val="32"/>
          <w:szCs w:val="32"/>
        </w:rPr>
        <w:t>11.7%</w:t>
      </w:r>
      <w:r>
        <w:rPr>
          <w:rFonts w:eastAsia="仿宋_GB2312"/>
          <w:kern w:val="0"/>
          <w:sz w:val="32"/>
          <w:szCs w:val="32"/>
        </w:rPr>
        <w:t>。</w:t>
      </w:r>
    </w:p>
    <w:p w:rsidR="00EA6885" w:rsidRDefault="007E707F">
      <w:pPr>
        <w:widowControl w:val="0"/>
        <w:adjustRightInd w:val="0"/>
        <w:snapToGrid w:val="0"/>
        <w:spacing w:line="560" w:lineRule="exact"/>
        <w:ind w:firstLine="616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脱贫</w:t>
      </w:r>
      <w:proofErr w:type="gramStart"/>
      <w:r>
        <w:rPr>
          <w:rFonts w:eastAsia="仿宋_GB2312"/>
          <w:bCs/>
          <w:kern w:val="0"/>
          <w:sz w:val="32"/>
          <w:szCs w:val="32"/>
        </w:rPr>
        <w:t>攻坚成效</w:t>
      </w:r>
      <w:proofErr w:type="gramEnd"/>
      <w:r>
        <w:rPr>
          <w:rFonts w:eastAsia="仿宋_GB2312"/>
          <w:bCs/>
          <w:kern w:val="0"/>
          <w:sz w:val="32"/>
          <w:szCs w:val="32"/>
        </w:rPr>
        <w:t>明显。按照每人每年</w:t>
      </w:r>
      <w:r>
        <w:rPr>
          <w:rFonts w:eastAsia="仿宋_GB2312"/>
          <w:bCs/>
          <w:kern w:val="0"/>
          <w:sz w:val="32"/>
          <w:szCs w:val="32"/>
        </w:rPr>
        <w:t>2300</w:t>
      </w:r>
      <w:r>
        <w:rPr>
          <w:rFonts w:eastAsia="仿宋_GB2312"/>
          <w:bCs/>
          <w:kern w:val="0"/>
          <w:sz w:val="32"/>
          <w:szCs w:val="32"/>
        </w:rPr>
        <w:t>元（</w:t>
      </w:r>
      <w:r>
        <w:rPr>
          <w:rFonts w:eastAsia="仿宋_GB2312"/>
          <w:bCs/>
          <w:kern w:val="0"/>
          <w:sz w:val="32"/>
          <w:szCs w:val="32"/>
        </w:rPr>
        <w:t>2010</w:t>
      </w:r>
      <w:r>
        <w:rPr>
          <w:rFonts w:eastAsia="仿宋_GB2312"/>
          <w:bCs/>
          <w:kern w:val="0"/>
          <w:sz w:val="32"/>
          <w:szCs w:val="32"/>
        </w:rPr>
        <w:t>年不变价）的国家贫困线标准，全州</w:t>
      </w:r>
      <w:r>
        <w:rPr>
          <w:rFonts w:eastAsia="仿宋_GB2312"/>
          <w:bCs/>
          <w:kern w:val="0"/>
          <w:sz w:val="32"/>
          <w:szCs w:val="32"/>
        </w:rPr>
        <w:t>0.8</w:t>
      </w:r>
      <w:r>
        <w:rPr>
          <w:rFonts w:eastAsia="仿宋_GB2312"/>
          <w:bCs/>
          <w:kern w:val="0"/>
          <w:sz w:val="32"/>
          <w:szCs w:val="32"/>
        </w:rPr>
        <w:t>万剩余贫困人口全部脱贫</w:t>
      </w:r>
      <w:r>
        <w:rPr>
          <w:rFonts w:eastAsia="仿宋_GB2312" w:hint="eastAsia"/>
          <w:bCs/>
          <w:kern w:val="0"/>
          <w:sz w:val="32"/>
          <w:szCs w:val="32"/>
        </w:rPr>
        <w:t>。党的“十八大”以来，全州</w:t>
      </w:r>
      <w:r>
        <w:rPr>
          <w:rFonts w:eastAsia="仿宋_GB2312" w:hint="eastAsia"/>
          <w:bCs/>
          <w:kern w:val="0"/>
          <w:sz w:val="32"/>
          <w:szCs w:val="32"/>
        </w:rPr>
        <w:t>109.9</w:t>
      </w:r>
      <w:r>
        <w:rPr>
          <w:rFonts w:eastAsia="仿宋_GB2312" w:hint="eastAsia"/>
          <w:bCs/>
          <w:kern w:val="0"/>
          <w:sz w:val="32"/>
          <w:szCs w:val="32"/>
        </w:rPr>
        <w:t>万贫困人口实现脱贫，</w:t>
      </w:r>
      <w:r>
        <w:rPr>
          <w:rFonts w:eastAsia="仿宋_GB2312" w:hint="eastAsia"/>
          <w:bCs/>
          <w:kern w:val="0"/>
          <w:sz w:val="32"/>
          <w:szCs w:val="32"/>
        </w:rPr>
        <w:t>8</w:t>
      </w:r>
      <w:r>
        <w:rPr>
          <w:rFonts w:eastAsia="仿宋_GB2312" w:hint="eastAsia"/>
          <w:bCs/>
          <w:kern w:val="0"/>
          <w:sz w:val="32"/>
          <w:szCs w:val="32"/>
        </w:rPr>
        <w:t>个贫困县全部摘帽、</w:t>
      </w:r>
      <w:r>
        <w:rPr>
          <w:rFonts w:eastAsia="仿宋_GB2312" w:hint="eastAsia"/>
          <w:bCs/>
          <w:kern w:val="0"/>
          <w:sz w:val="32"/>
          <w:szCs w:val="32"/>
        </w:rPr>
        <w:t>729</w:t>
      </w:r>
      <w:r>
        <w:rPr>
          <w:rFonts w:eastAsia="仿宋_GB2312" w:hint="eastAsia"/>
          <w:bCs/>
          <w:kern w:val="0"/>
          <w:sz w:val="32"/>
          <w:szCs w:val="32"/>
        </w:rPr>
        <w:t>个贫困村全部出列。</w:t>
      </w:r>
    </w:p>
    <w:p w:rsidR="00EA6885" w:rsidRDefault="007E707F">
      <w:pPr>
        <w:widowControl w:val="0"/>
        <w:adjustRightInd w:val="0"/>
        <w:snapToGrid w:val="0"/>
        <w:spacing w:line="560" w:lineRule="exact"/>
        <w:ind w:firstLine="616"/>
        <w:outlineLvl w:val="0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二、农业</w:t>
      </w:r>
    </w:p>
    <w:p w:rsidR="00EA6885" w:rsidRDefault="007E707F">
      <w:pPr>
        <w:widowControl w:val="0"/>
        <w:spacing w:line="560" w:lineRule="exact"/>
        <w:ind w:firstLine="61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全年农林牧渔业实现总产值</w:t>
      </w:r>
      <w:r>
        <w:rPr>
          <w:rFonts w:eastAsia="仿宋_GB2312"/>
          <w:kern w:val="0"/>
          <w:sz w:val="32"/>
          <w:szCs w:val="32"/>
        </w:rPr>
        <w:t>370.59</w:t>
      </w:r>
      <w:r>
        <w:rPr>
          <w:rFonts w:eastAsia="仿宋_GB2312"/>
          <w:kern w:val="0"/>
          <w:sz w:val="32"/>
          <w:szCs w:val="32"/>
        </w:rPr>
        <w:t>亿元，扣除价格因素，</w:t>
      </w:r>
      <w:r>
        <w:rPr>
          <w:rFonts w:eastAsia="仿宋_GB2312"/>
          <w:kern w:val="0"/>
          <w:sz w:val="32"/>
          <w:szCs w:val="32"/>
        </w:rPr>
        <w:lastRenderedPageBreak/>
        <w:t>比上年增长</w:t>
      </w:r>
      <w:r>
        <w:rPr>
          <w:rFonts w:eastAsia="仿宋_GB2312"/>
          <w:kern w:val="0"/>
          <w:sz w:val="32"/>
          <w:szCs w:val="32"/>
        </w:rPr>
        <w:t>0.9%</w:t>
      </w:r>
      <w:r>
        <w:rPr>
          <w:rFonts w:eastAsia="仿宋_GB2312"/>
          <w:kern w:val="0"/>
          <w:sz w:val="32"/>
          <w:szCs w:val="32"/>
        </w:rPr>
        <w:t>。农林牧渔业实现增加值</w:t>
      </w:r>
      <w:r>
        <w:rPr>
          <w:rFonts w:eastAsia="仿宋_GB2312"/>
          <w:kern w:val="0"/>
          <w:sz w:val="32"/>
          <w:szCs w:val="32"/>
        </w:rPr>
        <w:t>212.61</w:t>
      </w:r>
      <w:r>
        <w:rPr>
          <w:rFonts w:eastAsia="仿宋_GB2312"/>
          <w:kern w:val="0"/>
          <w:sz w:val="32"/>
          <w:szCs w:val="32"/>
        </w:rPr>
        <w:t>亿元，增长</w:t>
      </w:r>
      <w:r>
        <w:rPr>
          <w:rFonts w:eastAsia="仿宋_GB2312"/>
          <w:kern w:val="0"/>
          <w:sz w:val="32"/>
          <w:szCs w:val="32"/>
        </w:rPr>
        <w:t>0.7%</w:t>
      </w:r>
      <w:r>
        <w:rPr>
          <w:rFonts w:eastAsia="仿宋_GB2312"/>
          <w:kern w:val="0"/>
          <w:sz w:val="32"/>
          <w:szCs w:val="32"/>
        </w:rPr>
        <w:t>。</w:t>
      </w:r>
    </w:p>
    <w:p w:rsidR="00EA6885" w:rsidRDefault="007E707F">
      <w:pPr>
        <w:widowControl w:val="0"/>
        <w:spacing w:line="560" w:lineRule="exact"/>
        <w:ind w:firstLine="53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316865</wp:posOffset>
            </wp:positionH>
            <wp:positionV relativeFrom="margin">
              <wp:posOffset>892810</wp:posOffset>
            </wp:positionV>
            <wp:extent cx="4651375" cy="2322195"/>
            <wp:effectExtent l="0" t="0" r="0" b="0"/>
            <wp:wrapTopAndBottom/>
            <wp:docPr id="5" name="对象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rFonts w:eastAsia="仿宋_GB2312"/>
          <w:kern w:val="0"/>
          <w:sz w:val="32"/>
          <w:szCs w:val="32"/>
        </w:rPr>
        <w:t>全年粮食种植面积</w:t>
      </w:r>
      <w:r>
        <w:rPr>
          <w:rFonts w:eastAsia="仿宋_GB2312"/>
          <w:kern w:val="0"/>
          <w:sz w:val="32"/>
          <w:szCs w:val="32"/>
        </w:rPr>
        <w:t>553.52</w:t>
      </w:r>
      <w:r>
        <w:rPr>
          <w:rFonts w:eastAsia="仿宋_GB2312"/>
          <w:kern w:val="0"/>
          <w:sz w:val="32"/>
          <w:szCs w:val="32"/>
        </w:rPr>
        <w:t>万亩，粮食总产量</w:t>
      </w:r>
      <w:r>
        <w:rPr>
          <w:rFonts w:eastAsia="仿宋_GB2312"/>
          <w:kern w:val="0"/>
          <w:sz w:val="32"/>
          <w:szCs w:val="32"/>
        </w:rPr>
        <w:t>144.12</w:t>
      </w:r>
      <w:r>
        <w:rPr>
          <w:rFonts w:eastAsia="仿宋_GB2312"/>
          <w:kern w:val="0"/>
          <w:sz w:val="32"/>
          <w:szCs w:val="32"/>
        </w:rPr>
        <w:t>万吨。</w:t>
      </w:r>
    </w:p>
    <w:p w:rsidR="00EA6885" w:rsidRDefault="007E707F">
      <w:pPr>
        <w:widowControl w:val="0"/>
        <w:spacing w:line="560" w:lineRule="exact"/>
        <w:ind w:firstLine="61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全年油料产量</w:t>
      </w:r>
      <w:r>
        <w:rPr>
          <w:rFonts w:eastAsia="仿宋_GB2312"/>
          <w:kern w:val="0"/>
          <w:sz w:val="32"/>
          <w:szCs w:val="32"/>
        </w:rPr>
        <w:t>11.9</w:t>
      </w:r>
      <w:r>
        <w:rPr>
          <w:rFonts w:eastAsia="仿宋_GB2312"/>
          <w:kern w:val="0"/>
          <w:sz w:val="32"/>
          <w:szCs w:val="32"/>
        </w:rPr>
        <w:t>万吨，减产</w:t>
      </w:r>
      <w:r>
        <w:rPr>
          <w:rFonts w:eastAsia="仿宋_GB2312"/>
          <w:kern w:val="0"/>
          <w:sz w:val="32"/>
          <w:szCs w:val="32"/>
        </w:rPr>
        <w:t>1.7%</w:t>
      </w:r>
      <w:r>
        <w:rPr>
          <w:rFonts w:eastAsia="仿宋_GB2312"/>
          <w:kern w:val="0"/>
          <w:sz w:val="32"/>
          <w:szCs w:val="32"/>
        </w:rPr>
        <w:t>。烟叶产量</w:t>
      </w:r>
      <w:r>
        <w:rPr>
          <w:rFonts w:eastAsia="仿宋_GB2312"/>
          <w:kern w:val="0"/>
          <w:sz w:val="32"/>
          <w:szCs w:val="32"/>
        </w:rPr>
        <w:t>3.85</w:t>
      </w:r>
      <w:r>
        <w:rPr>
          <w:rFonts w:eastAsia="仿宋_GB2312"/>
          <w:kern w:val="0"/>
          <w:sz w:val="32"/>
          <w:szCs w:val="32"/>
        </w:rPr>
        <w:t>万吨，减产</w:t>
      </w:r>
      <w:r>
        <w:rPr>
          <w:rFonts w:eastAsia="仿宋_GB2312"/>
          <w:kern w:val="0"/>
          <w:sz w:val="32"/>
          <w:szCs w:val="32"/>
        </w:rPr>
        <w:t>3.</w:t>
      </w:r>
      <w:r>
        <w:rPr>
          <w:rFonts w:eastAsia="仿宋_GB2312" w:hint="eastAsia"/>
          <w:kern w:val="0"/>
          <w:sz w:val="32"/>
          <w:szCs w:val="32"/>
        </w:rPr>
        <w:t>5</w:t>
      </w:r>
      <w:r>
        <w:rPr>
          <w:rFonts w:eastAsia="仿宋_GB2312"/>
          <w:kern w:val="0"/>
          <w:sz w:val="32"/>
          <w:szCs w:val="32"/>
        </w:rPr>
        <w:t>%</w:t>
      </w:r>
      <w:r>
        <w:rPr>
          <w:rFonts w:eastAsia="仿宋_GB2312"/>
          <w:kern w:val="0"/>
          <w:sz w:val="32"/>
          <w:szCs w:val="32"/>
        </w:rPr>
        <w:t>。蔬菜产量</w:t>
      </w:r>
      <w:r>
        <w:rPr>
          <w:rFonts w:eastAsia="仿宋_GB2312"/>
          <w:kern w:val="0"/>
          <w:sz w:val="32"/>
          <w:szCs w:val="32"/>
        </w:rPr>
        <w:t>268.68</w:t>
      </w:r>
      <w:r>
        <w:rPr>
          <w:rFonts w:eastAsia="仿宋_GB2312"/>
          <w:kern w:val="0"/>
          <w:sz w:val="32"/>
          <w:szCs w:val="32"/>
        </w:rPr>
        <w:t>万吨，增产</w:t>
      </w:r>
      <w:r>
        <w:rPr>
          <w:rFonts w:eastAsia="仿宋_GB2312"/>
          <w:kern w:val="0"/>
          <w:sz w:val="32"/>
          <w:szCs w:val="32"/>
        </w:rPr>
        <w:t>0.5%</w:t>
      </w:r>
      <w:r>
        <w:rPr>
          <w:rFonts w:eastAsia="仿宋_GB2312"/>
          <w:kern w:val="0"/>
          <w:sz w:val="32"/>
          <w:szCs w:val="32"/>
        </w:rPr>
        <w:t>。茶叶产量</w:t>
      </w:r>
      <w:r>
        <w:rPr>
          <w:rFonts w:eastAsia="仿宋_GB2312"/>
          <w:kern w:val="0"/>
          <w:sz w:val="32"/>
          <w:szCs w:val="32"/>
        </w:rPr>
        <w:t>12.24</w:t>
      </w:r>
      <w:r>
        <w:rPr>
          <w:rFonts w:eastAsia="仿宋_GB2312"/>
          <w:kern w:val="0"/>
          <w:sz w:val="32"/>
          <w:szCs w:val="32"/>
        </w:rPr>
        <w:t>万吨，增产</w:t>
      </w:r>
      <w:r>
        <w:rPr>
          <w:rFonts w:eastAsia="仿宋_GB2312"/>
          <w:kern w:val="0"/>
          <w:sz w:val="32"/>
          <w:szCs w:val="32"/>
        </w:rPr>
        <w:t>1.6%</w:t>
      </w:r>
      <w:r>
        <w:rPr>
          <w:rFonts w:eastAsia="仿宋_GB2312"/>
          <w:kern w:val="0"/>
          <w:sz w:val="32"/>
          <w:szCs w:val="32"/>
        </w:rPr>
        <w:t>。园林水果产量</w:t>
      </w:r>
      <w:r>
        <w:rPr>
          <w:rFonts w:eastAsia="仿宋_GB2312"/>
          <w:kern w:val="0"/>
          <w:sz w:val="32"/>
          <w:szCs w:val="32"/>
        </w:rPr>
        <w:t>36.92</w:t>
      </w:r>
      <w:r>
        <w:rPr>
          <w:rFonts w:eastAsia="仿宋_GB2312"/>
          <w:kern w:val="0"/>
          <w:sz w:val="32"/>
          <w:szCs w:val="32"/>
        </w:rPr>
        <w:t>万吨，增产</w:t>
      </w:r>
      <w:r>
        <w:rPr>
          <w:rFonts w:eastAsia="仿宋_GB2312"/>
          <w:kern w:val="0"/>
          <w:sz w:val="32"/>
          <w:szCs w:val="32"/>
        </w:rPr>
        <w:t>4.1%</w:t>
      </w:r>
      <w:r>
        <w:rPr>
          <w:rFonts w:eastAsia="仿宋_GB2312"/>
          <w:kern w:val="0"/>
          <w:sz w:val="32"/>
          <w:szCs w:val="32"/>
        </w:rPr>
        <w:t>。</w:t>
      </w:r>
    </w:p>
    <w:p w:rsidR="00EA6885" w:rsidRDefault="007E707F">
      <w:pPr>
        <w:widowControl w:val="0"/>
        <w:spacing w:line="560" w:lineRule="exact"/>
        <w:ind w:firstLine="61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全年猪牛羊禽肉产量</w:t>
      </w:r>
      <w:r>
        <w:rPr>
          <w:rFonts w:eastAsia="仿宋_GB2312"/>
          <w:kern w:val="0"/>
          <w:sz w:val="32"/>
          <w:szCs w:val="32"/>
        </w:rPr>
        <w:t>25.46</w:t>
      </w:r>
      <w:r>
        <w:rPr>
          <w:rFonts w:eastAsia="仿宋_GB2312"/>
          <w:kern w:val="0"/>
          <w:sz w:val="32"/>
          <w:szCs w:val="32"/>
        </w:rPr>
        <w:t>万吨，比上年下降</w:t>
      </w:r>
      <w:r>
        <w:rPr>
          <w:rFonts w:eastAsia="仿宋_GB2312"/>
          <w:kern w:val="0"/>
          <w:sz w:val="32"/>
          <w:szCs w:val="32"/>
        </w:rPr>
        <w:t>9%</w:t>
      </w:r>
      <w:r>
        <w:rPr>
          <w:rFonts w:eastAsia="仿宋_GB2312"/>
          <w:kern w:val="0"/>
          <w:sz w:val="32"/>
          <w:szCs w:val="32"/>
        </w:rPr>
        <w:t>；其中猪肉产量</w:t>
      </w:r>
      <w:r>
        <w:rPr>
          <w:rFonts w:eastAsia="仿宋_GB2312"/>
          <w:kern w:val="0"/>
          <w:sz w:val="32"/>
          <w:szCs w:val="32"/>
        </w:rPr>
        <w:t>22.12</w:t>
      </w:r>
      <w:r>
        <w:rPr>
          <w:rFonts w:eastAsia="仿宋_GB2312"/>
          <w:kern w:val="0"/>
          <w:sz w:val="32"/>
          <w:szCs w:val="32"/>
        </w:rPr>
        <w:t>万吨，比上年下降</w:t>
      </w:r>
      <w:r>
        <w:rPr>
          <w:rFonts w:eastAsia="仿宋_GB2312"/>
          <w:kern w:val="0"/>
          <w:sz w:val="32"/>
          <w:szCs w:val="32"/>
        </w:rPr>
        <w:t>8.6%</w:t>
      </w:r>
      <w:r>
        <w:rPr>
          <w:rFonts w:eastAsia="仿宋_GB2312"/>
          <w:kern w:val="0"/>
          <w:sz w:val="32"/>
          <w:szCs w:val="32"/>
        </w:rPr>
        <w:t>。禽蛋产量</w:t>
      </w:r>
      <w:r>
        <w:rPr>
          <w:rFonts w:eastAsia="仿宋_GB2312"/>
          <w:kern w:val="0"/>
          <w:sz w:val="32"/>
          <w:szCs w:val="32"/>
        </w:rPr>
        <w:t>4.42</w:t>
      </w:r>
      <w:r>
        <w:rPr>
          <w:rFonts w:eastAsia="仿宋_GB2312"/>
          <w:kern w:val="0"/>
          <w:sz w:val="32"/>
          <w:szCs w:val="32"/>
        </w:rPr>
        <w:t>万吨，比上年增长</w:t>
      </w:r>
      <w:r>
        <w:rPr>
          <w:rFonts w:eastAsia="仿宋_GB2312"/>
          <w:kern w:val="0"/>
          <w:sz w:val="32"/>
          <w:szCs w:val="32"/>
        </w:rPr>
        <w:t>11.1%</w:t>
      </w:r>
      <w:r>
        <w:rPr>
          <w:rFonts w:eastAsia="仿宋_GB2312"/>
          <w:kern w:val="0"/>
          <w:sz w:val="32"/>
          <w:szCs w:val="32"/>
        </w:rPr>
        <w:t>。年末生猪存栏</w:t>
      </w:r>
      <w:r>
        <w:rPr>
          <w:rFonts w:eastAsia="仿宋_GB2312"/>
          <w:kern w:val="0"/>
          <w:sz w:val="32"/>
          <w:szCs w:val="32"/>
        </w:rPr>
        <w:t>234.09</w:t>
      </w:r>
      <w:r>
        <w:rPr>
          <w:rFonts w:eastAsia="仿宋_GB2312"/>
          <w:kern w:val="0"/>
          <w:sz w:val="32"/>
          <w:szCs w:val="32"/>
        </w:rPr>
        <w:t>万头</w:t>
      </w:r>
      <w:r>
        <w:rPr>
          <w:rFonts w:eastAsia="仿宋_GB2312" w:hint="eastAsia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全年生猪出栏</w:t>
      </w:r>
      <w:r>
        <w:rPr>
          <w:rFonts w:eastAsia="仿宋_GB2312"/>
          <w:kern w:val="0"/>
          <w:sz w:val="32"/>
          <w:szCs w:val="32"/>
        </w:rPr>
        <w:t>282.89</w:t>
      </w:r>
      <w:r>
        <w:rPr>
          <w:rFonts w:eastAsia="仿宋_GB2312"/>
          <w:kern w:val="0"/>
          <w:sz w:val="32"/>
          <w:szCs w:val="32"/>
        </w:rPr>
        <w:t>万头。</w:t>
      </w:r>
    </w:p>
    <w:p w:rsidR="00EA6885" w:rsidRDefault="007E707F">
      <w:pPr>
        <w:widowControl w:val="0"/>
        <w:spacing w:line="560" w:lineRule="exact"/>
        <w:ind w:firstLine="61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全州拥有农机</w:t>
      </w:r>
      <w:r>
        <w:rPr>
          <w:rFonts w:eastAsia="仿宋_GB2312"/>
          <w:kern w:val="0"/>
          <w:sz w:val="32"/>
          <w:szCs w:val="32"/>
        </w:rPr>
        <w:t>156.79</w:t>
      </w:r>
      <w:r>
        <w:rPr>
          <w:rFonts w:eastAsia="仿宋_GB2312"/>
          <w:kern w:val="0"/>
          <w:sz w:val="32"/>
          <w:szCs w:val="32"/>
        </w:rPr>
        <w:t>万台，农机总动力达到</w:t>
      </w:r>
      <w:r>
        <w:rPr>
          <w:rFonts w:eastAsia="仿宋_GB2312"/>
          <w:kern w:val="0"/>
          <w:sz w:val="32"/>
          <w:szCs w:val="32"/>
        </w:rPr>
        <w:t>249.94</w:t>
      </w:r>
      <w:r>
        <w:rPr>
          <w:rFonts w:eastAsia="仿宋_GB2312"/>
          <w:kern w:val="0"/>
          <w:sz w:val="32"/>
          <w:szCs w:val="32"/>
        </w:rPr>
        <w:t>万千瓦。</w:t>
      </w:r>
      <w:r>
        <w:rPr>
          <w:rFonts w:eastAsia="仿宋_GB2312"/>
          <w:kern w:val="0"/>
          <w:sz w:val="32"/>
          <w:szCs w:val="32"/>
        </w:rPr>
        <w:t xml:space="preserve">     </w:t>
      </w:r>
    </w:p>
    <w:p w:rsidR="00EA6885" w:rsidRDefault="007E707F">
      <w:pPr>
        <w:widowControl w:val="0"/>
        <w:spacing w:line="560" w:lineRule="exact"/>
        <w:ind w:firstLine="616"/>
        <w:outlineLvl w:val="0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三、工业和建筑业</w:t>
      </w:r>
    </w:p>
    <w:p w:rsidR="00EA6885" w:rsidRDefault="007E707F">
      <w:pPr>
        <w:widowControl w:val="0"/>
        <w:spacing w:line="560" w:lineRule="exact"/>
        <w:ind w:firstLine="61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全年全部工业增加值</w:t>
      </w:r>
      <w:r>
        <w:rPr>
          <w:rFonts w:eastAsia="仿宋_GB2312"/>
          <w:sz w:val="32"/>
          <w:szCs w:val="32"/>
        </w:rPr>
        <w:t>202.06</w:t>
      </w:r>
      <w:r>
        <w:rPr>
          <w:rFonts w:eastAsia="仿宋_GB2312"/>
          <w:sz w:val="32"/>
          <w:szCs w:val="32"/>
        </w:rPr>
        <w:t>亿元，比上年下降</w:t>
      </w:r>
      <w:r>
        <w:rPr>
          <w:rFonts w:eastAsia="仿宋_GB2312"/>
          <w:sz w:val="32"/>
          <w:szCs w:val="32"/>
        </w:rPr>
        <w:t>4.3%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全州</w:t>
      </w:r>
      <w:r>
        <w:rPr>
          <w:rFonts w:eastAsia="仿宋_GB2312"/>
          <w:sz w:val="32"/>
          <w:szCs w:val="32"/>
        </w:rPr>
        <w:t>规模以上工业增加值增长</w:t>
      </w:r>
      <w:r>
        <w:rPr>
          <w:rFonts w:eastAsia="仿宋_GB2312"/>
          <w:sz w:val="32"/>
          <w:szCs w:val="32"/>
        </w:rPr>
        <w:t>9.7%</w:t>
      </w:r>
      <w:r>
        <w:rPr>
          <w:rFonts w:eastAsia="仿宋_GB2312"/>
          <w:sz w:val="32"/>
          <w:szCs w:val="32"/>
        </w:rPr>
        <w:t>。全年规模以上工业产销率为</w:t>
      </w:r>
      <w:r>
        <w:rPr>
          <w:rFonts w:eastAsia="仿宋_GB2312"/>
          <w:sz w:val="32"/>
          <w:szCs w:val="32"/>
        </w:rPr>
        <w:t>97.2%</w:t>
      </w:r>
      <w:r>
        <w:rPr>
          <w:rFonts w:eastAsia="仿宋_GB2312"/>
          <w:sz w:val="32"/>
          <w:szCs w:val="32"/>
        </w:rPr>
        <w:t>。每百元营业收入中的成本</w:t>
      </w:r>
      <w:r>
        <w:rPr>
          <w:rFonts w:eastAsia="仿宋_GB2312"/>
          <w:sz w:val="32"/>
          <w:szCs w:val="32"/>
        </w:rPr>
        <w:t>73.75</w:t>
      </w:r>
      <w:r>
        <w:rPr>
          <w:rFonts w:eastAsia="仿宋_GB2312"/>
          <w:sz w:val="32"/>
          <w:szCs w:val="32"/>
        </w:rPr>
        <w:t>元，比上年减少</w:t>
      </w:r>
      <w:r>
        <w:rPr>
          <w:rFonts w:eastAsia="仿宋_GB2312"/>
          <w:sz w:val="32"/>
          <w:szCs w:val="32"/>
        </w:rPr>
        <w:t>1.86</w:t>
      </w:r>
      <w:r>
        <w:rPr>
          <w:rFonts w:eastAsia="仿宋_GB2312"/>
          <w:sz w:val="32"/>
          <w:szCs w:val="32"/>
        </w:rPr>
        <w:t>元；营业收入利润率</w:t>
      </w:r>
      <w:r>
        <w:rPr>
          <w:rFonts w:eastAsia="仿宋_GB2312"/>
          <w:sz w:val="32"/>
          <w:szCs w:val="32"/>
        </w:rPr>
        <w:t>13.82%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提高</w:t>
      </w:r>
      <w:r>
        <w:rPr>
          <w:rFonts w:eastAsia="仿宋_GB2312"/>
          <w:sz w:val="32"/>
          <w:szCs w:val="32"/>
        </w:rPr>
        <w:t>2.52</w:t>
      </w:r>
      <w:r>
        <w:rPr>
          <w:rFonts w:eastAsia="仿宋_GB2312"/>
          <w:sz w:val="32"/>
          <w:szCs w:val="32"/>
        </w:rPr>
        <w:t>个百分点；每百元营业收入中的费用</w:t>
      </w:r>
      <w:r>
        <w:rPr>
          <w:rFonts w:eastAsia="仿宋_GB2312"/>
          <w:sz w:val="32"/>
          <w:szCs w:val="32"/>
        </w:rPr>
        <w:t>12.46</w:t>
      </w:r>
      <w:r>
        <w:rPr>
          <w:rFonts w:eastAsia="仿宋_GB2312"/>
          <w:sz w:val="32"/>
          <w:szCs w:val="32"/>
        </w:rPr>
        <w:t>元，减少</w:t>
      </w:r>
      <w:r>
        <w:rPr>
          <w:rFonts w:eastAsia="仿宋_GB2312"/>
          <w:sz w:val="32"/>
          <w:szCs w:val="32"/>
        </w:rPr>
        <w:t>0.75</w:t>
      </w:r>
      <w:r>
        <w:rPr>
          <w:rFonts w:eastAsia="仿宋_GB2312"/>
          <w:sz w:val="32"/>
          <w:szCs w:val="32"/>
        </w:rPr>
        <w:t>元；单位成本费用</w:t>
      </w:r>
      <w:r>
        <w:rPr>
          <w:rFonts w:eastAsia="仿宋_GB2312"/>
          <w:sz w:val="32"/>
          <w:szCs w:val="32"/>
        </w:rPr>
        <w:t>86.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元，减少</w:t>
      </w:r>
      <w:r>
        <w:rPr>
          <w:rFonts w:eastAsia="仿宋_GB2312"/>
          <w:sz w:val="32"/>
          <w:szCs w:val="32"/>
        </w:rPr>
        <w:lastRenderedPageBreak/>
        <w:t>2.</w:t>
      </w:r>
      <w:r>
        <w:rPr>
          <w:rFonts w:eastAsia="仿宋_GB2312" w:hint="eastAsia"/>
          <w:sz w:val="32"/>
          <w:szCs w:val="32"/>
        </w:rPr>
        <w:t>61</w:t>
      </w:r>
      <w:r>
        <w:rPr>
          <w:rFonts w:eastAsia="仿宋_GB2312"/>
          <w:sz w:val="32"/>
          <w:szCs w:val="32"/>
        </w:rPr>
        <w:t>元；每百元资产实现的年营业收入</w:t>
      </w:r>
      <w:r>
        <w:rPr>
          <w:rFonts w:eastAsia="仿宋_GB2312"/>
          <w:sz w:val="32"/>
          <w:szCs w:val="32"/>
        </w:rPr>
        <w:t>77.3</w:t>
      </w:r>
      <w:r>
        <w:rPr>
          <w:rFonts w:eastAsia="仿宋_GB2312"/>
          <w:sz w:val="32"/>
          <w:szCs w:val="32"/>
        </w:rPr>
        <w:t>元，减少</w:t>
      </w:r>
      <w:r>
        <w:rPr>
          <w:rFonts w:eastAsia="仿宋_GB2312"/>
          <w:sz w:val="32"/>
          <w:szCs w:val="32"/>
        </w:rPr>
        <w:t>13.2</w:t>
      </w:r>
      <w:r>
        <w:rPr>
          <w:rFonts w:eastAsia="仿宋_GB2312"/>
          <w:sz w:val="32"/>
          <w:szCs w:val="32"/>
        </w:rPr>
        <w:t>元；资产负债</w:t>
      </w:r>
      <w:r>
        <w:rPr>
          <w:rFonts w:eastAsia="仿宋_GB2312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205105</wp:posOffset>
            </wp:positionH>
            <wp:positionV relativeFrom="margin">
              <wp:posOffset>783590</wp:posOffset>
            </wp:positionV>
            <wp:extent cx="4738370" cy="2222500"/>
            <wp:effectExtent l="0" t="0" r="0" b="0"/>
            <wp:wrapTopAndBottom/>
            <wp:docPr id="4" name="对象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rPr>
          <w:rFonts w:eastAsia="仿宋_GB2312"/>
          <w:sz w:val="32"/>
          <w:szCs w:val="32"/>
        </w:rPr>
        <w:t>率</w:t>
      </w:r>
      <w:r>
        <w:rPr>
          <w:rFonts w:eastAsia="仿宋_GB2312"/>
          <w:sz w:val="32"/>
          <w:szCs w:val="32"/>
        </w:rPr>
        <w:t>53.3%</w:t>
      </w:r>
      <w:r>
        <w:rPr>
          <w:rFonts w:eastAsia="仿宋_GB2312"/>
          <w:sz w:val="32"/>
          <w:szCs w:val="32"/>
        </w:rPr>
        <w:t>，下降</w:t>
      </w:r>
      <w:r>
        <w:rPr>
          <w:rFonts w:eastAsia="仿宋_GB2312"/>
          <w:sz w:val="32"/>
          <w:szCs w:val="32"/>
        </w:rPr>
        <w:t>0.1</w:t>
      </w:r>
      <w:r>
        <w:rPr>
          <w:rFonts w:eastAsia="仿宋_GB2312"/>
          <w:sz w:val="32"/>
          <w:szCs w:val="32"/>
        </w:rPr>
        <w:t>个百分点。</w:t>
      </w:r>
    </w:p>
    <w:tbl>
      <w:tblPr>
        <w:tblW w:w="84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8ECC8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1545"/>
        <w:gridCol w:w="1620"/>
        <w:gridCol w:w="1695"/>
        <w:gridCol w:w="1296"/>
      </w:tblGrid>
      <w:tr w:rsidR="00EA6885">
        <w:trPr>
          <w:trHeight w:val="538"/>
        </w:trPr>
        <w:tc>
          <w:tcPr>
            <w:tcW w:w="847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ECC8" w:themeFill="background1"/>
            <w:vAlign w:val="center"/>
          </w:tcPr>
          <w:p w:rsidR="00EA6885" w:rsidRDefault="007E707F">
            <w:pPr>
              <w:widowControl w:val="0"/>
              <w:adjustRightInd w:val="0"/>
              <w:snapToGrid w:val="0"/>
              <w:spacing w:line="560" w:lineRule="exact"/>
              <w:ind w:firstLine="53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表</w:t>
            </w:r>
            <w:r>
              <w:rPr>
                <w:rFonts w:eastAsia="黑体"/>
                <w:kern w:val="0"/>
                <w:sz w:val="28"/>
                <w:szCs w:val="28"/>
              </w:rPr>
              <w:t>1   2020</w:t>
            </w:r>
            <w:r>
              <w:rPr>
                <w:rFonts w:eastAsia="黑体"/>
                <w:kern w:val="0"/>
                <w:sz w:val="28"/>
                <w:szCs w:val="28"/>
              </w:rPr>
              <w:t>年规模以上工业企业主要产品产量</w:t>
            </w:r>
          </w:p>
        </w:tc>
      </w:tr>
      <w:tr w:rsidR="00EA6885">
        <w:trPr>
          <w:trHeight w:val="90"/>
        </w:trPr>
        <w:tc>
          <w:tcPr>
            <w:tcW w:w="2316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E6B7" w:themeFill="background1" w:themeFillShade="F2"/>
            <w:vAlign w:val="center"/>
          </w:tcPr>
          <w:p w:rsidR="00EA6885" w:rsidRDefault="007E707F">
            <w:pPr>
              <w:widowControl w:val="0"/>
              <w:spacing w:line="400" w:lineRule="exact"/>
              <w:ind w:firstLineChars="0" w:firstLine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产品名称</w:t>
            </w:r>
          </w:p>
        </w:tc>
        <w:tc>
          <w:tcPr>
            <w:tcW w:w="154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6B7" w:themeFill="background1" w:themeFillShade="F2"/>
            <w:vAlign w:val="center"/>
          </w:tcPr>
          <w:p w:rsidR="00EA6885" w:rsidRDefault="007E707F">
            <w:pPr>
              <w:widowControl w:val="0"/>
              <w:spacing w:line="400" w:lineRule="exact"/>
              <w:ind w:firstLineChars="0" w:firstLine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单位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6B7" w:themeFill="background1" w:themeFillShade="F2"/>
            <w:vAlign w:val="center"/>
          </w:tcPr>
          <w:p w:rsidR="00EA6885" w:rsidRDefault="007E707F">
            <w:pPr>
              <w:widowControl w:val="0"/>
              <w:spacing w:line="400" w:lineRule="exact"/>
              <w:ind w:firstLineChars="0" w:firstLine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产量</w:t>
            </w:r>
          </w:p>
        </w:tc>
        <w:tc>
          <w:tcPr>
            <w:tcW w:w="29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7E6B7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6885" w:rsidRDefault="007E707F">
            <w:pPr>
              <w:widowControl w:val="0"/>
              <w:spacing w:line="400" w:lineRule="exact"/>
              <w:ind w:firstLineChars="0" w:firstLine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比上年增减</w:t>
            </w:r>
          </w:p>
        </w:tc>
      </w:tr>
      <w:tr w:rsidR="00EA6885">
        <w:trPr>
          <w:trHeight w:val="90"/>
        </w:trPr>
        <w:tc>
          <w:tcPr>
            <w:tcW w:w="23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E6B7" w:themeFill="background1" w:themeFillShade="F2"/>
            <w:vAlign w:val="center"/>
          </w:tcPr>
          <w:p w:rsidR="00EA6885" w:rsidRDefault="00EA6885">
            <w:pPr>
              <w:widowControl w:val="0"/>
              <w:spacing w:line="400" w:lineRule="exact"/>
              <w:ind w:firstLine="536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6B7" w:themeFill="background1" w:themeFillShade="F2"/>
            <w:vAlign w:val="center"/>
          </w:tcPr>
          <w:p w:rsidR="00EA6885" w:rsidRDefault="00EA6885">
            <w:pPr>
              <w:widowControl w:val="0"/>
              <w:spacing w:line="400" w:lineRule="exact"/>
              <w:ind w:firstLine="536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6B7" w:themeFill="background1" w:themeFillShade="F2"/>
            <w:vAlign w:val="center"/>
          </w:tcPr>
          <w:p w:rsidR="00EA6885" w:rsidRDefault="00EA6885">
            <w:pPr>
              <w:widowControl w:val="0"/>
              <w:spacing w:line="400" w:lineRule="exact"/>
              <w:ind w:firstLine="536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6B7" w:themeFill="background1" w:themeFillShade="F2"/>
            <w:vAlign w:val="center"/>
          </w:tcPr>
          <w:p w:rsidR="00EA6885" w:rsidRDefault="007E707F">
            <w:pPr>
              <w:widowControl w:val="0"/>
              <w:spacing w:line="400" w:lineRule="exact"/>
              <w:ind w:firstLineChars="0" w:firstLine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绝对额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7E6B7" w:themeFill="background1" w:themeFillShade="F2"/>
            <w:vAlign w:val="center"/>
          </w:tcPr>
          <w:p w:rsidR="00EA6885" w:rsidRDefault="007E707F">
            <w:pPr>
              <w:widowControl w:val="0"/>
              <w:spacing w:line="400" w:lineRule="exact"/>
              <w:ind w:firstLineChars="0" w:firstLine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％</w:t>
            </w:r>
          </w:p>
        </w:tc>
      </w:tr>
      <w:tr w:rsidR="00EA6885">
        <w:trPr>
          <w:cantSplit/>
          <w:trHeight w:val="375"/>
        </w:trPr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8ECC8" w:themeFill="background1"/>
            <w:vAlign w:val="center"/>
          </w:tcPr>
          <w:p w:rsidR="00EA6885" w:rsidRDefault="007E707F">
            <w:pPr>
              <w:widowControl w:val="0"/>
              <w:spacing w:line="400" w:lineRule="exact"/>
              <w:ind w:firstLineChars="0" w:firstLine="0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 xml:space="preserve">  </w:t>
            </w:r>
            <w:r>
              <w:rPr>
                <w:rFonts w:eastAsia="仿宋_GB2312" w:hint="eastAsia"/>
                <w:sz w:val="28"/>
                <w:szCs w:val="32"/>
              </w:rPr>
              <w:t xml:space="preserve"> </w:t>
            </w:r>
            <w:r>
              <w:rPr>
                <w:rFonts w:eastAsia="仿宋_GB2312"/>
                <w:sz w:val="28"/>
                <w:szCs w:val="32"/>
              </w:rPr>
              <w:t>发电量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8ECC8" w:themeFill="background1"/>
            <w:vAlign w:val="center"/>
          </w:tcPr>
          <w:p w:rsidR="00EA6885" w:rsidRDefault="007E707F">
            <w:pPr>
              <w:widowControl w:val="0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亿千瓦时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8ECC8" w:themeFill="background1"/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:rsidR="00EA6885" w:rsidRDefault="007E707F">
            <w:pPr>
              <w:widowControl w:val="0"/>
              <w:spacing w:line="400" w:lineRule="exact"/>
              <w:ind w:firstLine="536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105.47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8ECC8" w:themeFill="background1"/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:rsidR="00EA6885" w:rsidRDefault="007E707F">
            <w:pPr>
              <w:widowControl w:val="0"/>
              <w:spacing w:line="400" w:lineRule="exact"/>
              <w:ind w:firstLine="536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45.35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8ECC8" w:themeFill="background1"/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:rsidR="00EA6885" w:rsidRDefault="007E707F">
            <w:pPr>
              <w:widowControl w:val="0"/>
              <w:spacing w:line="400" w:lineRule="exact"/>
              <w:ind w:firstLine="536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75.5 </w:t>
            </w:r>
          </w:p>
        </w:tc>
      </w:tr>
      <w:tr w:rsidR="00EA6885">
        <w:trPr>
          <w:cantSplit/>
          <w:trHeight w:val="385"/>
        </w:trPr>
        <w:tc>
          <w:tcPr>
            <w:tcW w:w="2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8ECC8" w:themeFill="background1"/>
            <w:vAlign w:val="center"/>
          </w:tcPr>
          <w:p w:rsidR="00EA6885" w:rsidRDefault="007E707F" w:rsidP="00C75A25">
            <w:pPr>
              <w:widowControl w:val="0"/>
              <w:spacing w:line="400" w:lineRule="exact"/>
              <w:ind w:firstLineChars="300" w:firstLine="803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其中：水电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8ECC8" w:themeFill="background1"/>
            <w:vAlign w:val="center"/>
          </w:tcPr>
          <w:p w:rsidR="00EA6885" w:rsidRDefault="007E707F">
            <w:pPr>
              <w:widowControl w:val="0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亿千瓦时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8ECC8" w:themeFill="background1"/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:rsidR="00EA6885" w:rsidRDefault="007E707F">
            <w:pPr>
              <w:widowControl w:val="0"/>
              <w:spacing w:line="400" w:lineRule="exact"/>
              <w:ind w:firstLine="536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95.31 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8ECC8" w:themeFill="background1"/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:rsidR="00EA6885" w:rsidRDefault="007E707F">
            <w:pPr>
              <w:widowControl w:val="0"/>
              <w:spacing w:line="400" w:lineRule="exact"/>
              <w:ind w:firstLine="536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45.46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8ECC8" w:themeFill="background1"/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:rsidR="00EA6885" w:rsidRDefault="007E707F">
            <w:pPr>
              <w:widowControl w:val="0"/>
              <w:spacing w:line="400" w:lineRule="exact"/>
              <w:ind w:firstLine="536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91.2 </w:t>
            </w:r>
          </w:p>
        </w:tc>
      </w:tr>
      <w:tr w:rsidR="00EA6885">
        <w:trPr>
          <w:cantSplit/>
          <w:trHeight w:val="375"/>
        </w:trPr>
        <w:tc>
          <w:tcPr>
            <w:tcW w:w="2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8ECC8" w:themeFill="background1"/>
            <w:vAlign w:val="center"/>
          </w:tcPr>
          <w:p w:rsidR="00EA6885" w:rsidRDefault="007E707F">
            <w:pPr>
              <w:widowControl w:val="0"/>
              <w:spacing w:line="400" w:lineRule="exact"/>
              <w:ind w:firstLineChars="0" w:firstLine="0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 xml:space="preserve">   </w:t>
            </w:r>
            <w:r>
              <w:rPr>
                <w:rFonts w:eastAsia="仿宋_GB2312"/>
                <w:sz w:val="28"/>
                <w:szCs w:val="32"/>
              </w:rPr>
              <w:t>精制茶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8ECC8" w:themeFill="background1"/>
            <w:vAlign w:val="center"/>
          </w:tcPr>
          <w:p w:rsidR="00EA6885" w:rsidRDefault="007E707F">
            <w:pPr>
              <w:widowControl w:val="0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万吨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8ECC8" w:themeFill="background1"/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:rsidR="00EA6885" w:rsidRDefault="007E707F">
            <w:pPr>
              <w:widowControl w:val="0"/>
              <w:spacing w:line="400" w:lineRule="exact"/>
              <w:ind w:firstLine="536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4.46 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8ECC8" w:themeFill="background1"/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:rsidR="00EA6885" w:rsidRDefault="007E707F">
            <w:pPr>
              <w:widowControl w:val="0"/>
              <w:spacing w:line="400" w:lineRule="exact"/>
              <w:ind w:firstLine="536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0.12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8ECC8" w:themeFill="background1"/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:rsidR="00EA6885" w:rsidRDefault="007E707F">
            <w:pPr>
              <w:widowControl w:val="0"/>
              <w:spacing w:line="400" w:lineRule="exact"/>
              <w:ind w:firstLine="536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2.9 </w:t>
            </w:r>
          </w:p>
        </w:tc>
      </w:tr>
      <w:tr w:rsidR="00EA6885">
        <w:trPr>
          <w:cantSplit/>
          <w:trHeight w:val="80"/>
        </w:trPr>
        <w:tc>
          <w:tcPr>
            <w:tcW w:w="2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8ECC8" w:themeFill="background1"/>
            <w:vAlign w:val="center"/>
          </w:tcPr>
          <w:p w:rsidR="00EA6885" w:rsidRDefault="007E707F">
            <w:pPr>
              <w:widowControl w:val="0"/>
              <w:spacing w:line="400" w:lineRule="exact"/>
              <w:ind w:firstLineChars="0" w:firstLine="0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 xml:space="preserve">   </w:t>
            </w:r>
            <w:r>
              <w:rPr>
                <w:rFonts w:eastAsia="仿宋_GB2312"/>
                <w:sz w:val="28"/>
                <w:szCs w:val="32"/>
              </w:rPr>
              <w:t>鲜冷藏肉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8ECC8" w:themeFill="background1"/>
            <w:vAlign w:val="center"/>
          </w:tcPr>
          <w:p w:rsidR="00EA6885" w:rsidRDefault="007E707F">
            <w:pPr>
              <w:widowControl w:val="0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万吨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8ECC8" w:themeFill="background1"/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:rsidR="00EA6885" w:rsidRDefault="007E707F">
            <w:pPr>
              <w:widowControl w:val="0"/>
              <w:spacing w:line="400" w:lineRule="exact"/>
              <w:ind w:firstLine="536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1.86 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8ECC8" w:themeFill="background1"/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:rsidR="00EA6885" w:rsidRDefault="007E707F">
            <w:pPr>
              <w:widowControl w:val="0"/>
              <w:spacing w:line="400" w:lineRule="exact"/>
              <w:ind w:firstLine="536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-0.97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8ECC8" w:themeFill="background1"/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:rsidR="00EA6885" w:rsidRDefault="007E707F">
            <w:pPr>
              <w:widowControl w:val="0"/>
              <w:spacing w:line="400" w:lineRule="exact"/>
              <w:ind w:firstLine="536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-34.4 </w:t>
            </w:r>
          </w:p>
        </w:tc>
      </w:tr>
      <w:tr w:rsidR="00EA6885">
        <w:trPr>
          <w:cantSplit/>
          <w:trHeight w:val="375"/>
        </w:trPr>
        <w:tc>
          <w:tcPr>
            <w:tcW w:w="2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8ECC8" w:themeFill="background1"/>
            <w:vAlign w:val="center"/>
          </w:tcPr>
          <w:p w:rsidR="00EA6885" w:rsidRDefault="007E707F">
            <w:pPr>
              <w:widowControl w:val="0"/>
              <w:spacing w:line="400" w:lineRule="exact"/>
              <w:ind w:firstLineChars="0" w:firstLine="0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 xml:space="preserve">   </w:t>
            </w:r>
            <w:r>
              <w:rPr>
                <w:rFonts w:eastAsia="仿宋_GB2312"/>
                <w:sz w:val="28"/>
                <w:szCs w:val="32"/>
              </w:rPr>
              <w:t>电子元件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8ECC8" w:themeFill="background1"/>
            <w:vAlign w:val="center"/>
          </w:tcPr>
          <w:p w:rsidR="00EA6885" w:rsidRDefault="007E707F">
            <w:pPr>
              <w:widowControl w:val="0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亿只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8ECC8" w:themeFill="background1"/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:rsidR="00EA6885" w:rsidRDefault="007E707F">
            <w:pPr>
              <w:widowControl w:val="0"/>
              <w:spacing w:line="400" w:lineRule="exact"/>
              <w:ind w:firstLine="536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5.60 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8ECC8" w:themeFill="background1"/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:rsidR="00EA6885" w:rsidRDefault="007E707F">
            <w:pPr>
              <w:widowControl w:val="0"/>
              <w:spacing w:line="400" w:lineRule="exact"/>
              <w:ind w:firstLine="536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2.14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8ECC8" w:themeFill="background1"/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:rsidR="00EA6885" w:rsidRDefault="007E707F">
            <w:pPr>
              <w:widowControl w:val="0"/>
              <w:spacing w:line="400" w:lineRule="exact"/>
              <w:ind w:firstLine="536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61.8 </w:t>
            </w:r>
          </w:p>
        </w:tc>
      </w:tr>
      <w:tr w:rsidR="00EA6885">
        <w:trPr>
          <w:cantSplit/>
          <w:trHeight w:val="375"/>
        </w:trPr>
        <w:tc>
          <w:tcPr>
            <w:tcW w:w="2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8ECC8" w:themeFill="background1"/>
            <w:vAlign w:val="center"/>
          </w:tcPr>
          <w:p w:rsidR="00EA6885" w:rsidRDefault="007E707F">
            <w:pPr>
              <w:widowControl w:val="0"/>
              <w:spacing w:line="400" w:lineRule="exact"/>
              <w:ind w:firstLineChars="0" w:firstLine="0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 xml:space="preserve">   </w:t>
            </w:r>
            <w:r>
              <w:rPr>
                <w:rFonts w:eastAsia="仿宋_GB2312"/>
                <w:sz w:val="28"/>
                <w:szCs w:val="32"/>
              </w:rPr>
              <w:t>自来水生产量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8ECC8" w:themeFill="background1"/>
            <w:vAlign w:val="center"/>
          </w:tcPr>
          <w:p w:rsidR="00EA6885" w:rsidRDefault="007E707F">
            <w:pPr>
              <w:widowControl w:val="0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万立方米</w:t>
            </w:r>
            <w:proofErr w:type="gram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8ECC8" w:themeFill="background1"/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:rsidR="00EA6885" w:rsidRDefault="007E707F">
            <w:pPr>
              <w:widowControl w:val="0"/>
              <w:spacing w:line="400" w:lineRule="exact"/>
              <w:ind w:firstLine="536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9385.03 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8ECC8" w:themeFill="background1"/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:rsidR="00EA6885" w:rsidRDefault="007E707F">
            <w:pPr>
              <w:widowControl w:val="0"/>
              <w:spacing w:line="400" w:lineRule="exact"/>
              <w:ind w:firstLine="536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-244.32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8ECC8" w:themeFill="background1"/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:rsidR="00EA6885" w:rsidRDefault="007E707F">
            <w:pPr>
              <w:widowControl w:val="0"/>
              <w:spacing w:line="400" w:lineRule="exact"/>
              <w:ind w:firstLine="536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-2.5 </w:t>
            </w:r>
          </w:p>
        </w:tc>
      </w:tr>
      <w:tr w:rsidR="00EA6885">
        <w:trPr>
          <w:cantSplit/>
          <w:trHeight w:val="375"/>
        </w:trPr>
        <w:tc>
          <w:tcPr>
            <w:tcW w:w="2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8ECC8" w:themeFill="background1"/>
            <w:vAlign w:val="center"/>
          </w:tcPr>
          <w:p w:rsidR="00EA6885" w:rsidRDefault="007E707F">
            <w:pPr>
              <w:widowControl w:val="0"/>
              <w:spacing w:line="400" w:lineRule="exact"/>
              <w:ind w:firstLineChars="0" w:firstLine="0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 xml:space="preserve">   </w:t>
            </w:r>
            <w:r>
              <w:rPr>
                <w:rFonts w:eastAsia="仿宋_GB2312"/>
                <w:sz w:val="28"/>
                <w:szCs w:val="32"/>
              </w:rPr>
              <w:t>水泥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8ECC8" w:themeFill="background1"/>
            <w:vAlign w:val="center"/>
          </w:tcPr>
          <w:p w:rsidR="00EA6885" w:rsidRDefault="007E707F">
            <w:pPr>
              <w:widowControl w:val="0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万吨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8ECC8" w:themeFill="background1"/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:rsidR="00EA6885" w:rsidRDefault="007E707F">
            <w:pPr>
              <w:widowControl w:val="0"/>
              <w:spacing w:line="400" w:lineRule="exact"/>
              <w:ind w:firstLine="536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416.68 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8ECC8" w:themeFill="background1"/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:rsidR="00EA6885" w:rsidRDefault="007E707F">
            <w:pPr>
              <w:widowControl w:val="0"/>
              <w:spacing w:line="400" w:lineRule="exact"/>
              <w:ind w:firstLine="536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-97.12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8ECC8" w:themeFill="background1"/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:rsidR="00EA6885" w:rsidRDefault="007E707F">
            <w:pPr>
              <w:widowControl w:val="0"/>
              <w:spacing w:line="400" w:lineRule="exact"/>
              <w:ind w:firstLine="536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-18.9 </w:t>
            </w:r>
          </w:p>
        </w:tc>
      </w:tr>
      <w:tr w:rsidR="00EA6885">
        <w:trPr>
          <w:cantSplit/>
          <w:trHeight w:val="375"/>
        </w:trPr>
        <w:tc>
          <w:tcPr>
            <w:tcW w:w="2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8ECC8" w:themeFill="background1"/>
            <w:vAlign w:val="center"/>
          </w:tcPr>
          <w:p w:rsidR="00EA6885" w:rsidRDefault="007E707F">
            <w:pPr>
              <w:widowControl w:val="0"/>
              <w:spacing w:line="400" w:lineRule="exact"/>
              <w:ind w:firstLineChars="0" w:firstLine="0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 xml:space="preserve">   </w:t>
            </w:r>
            <w:r>
              <w:rPr>
                <w:rFonts w:eastAsia="仿宋_GB2312"/>
                <w:sz w:val="28"/>
                <w:szCs w:val="32"/>
              </w:rPr>
              <w:t>商品混凝土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8ECC8" w:themeFill="background1"/>
            <w:vAlign w:val="center"/>
          </w:tcPr>
          <w:p w:rsidR="00EA6885" w:rsidRDefault="007E707F">
            <w:pPr>
              <w:widowControl w:val="0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万立方米</w:t>
            </w:r>
            <w:proofErr w:type="gram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8ECC8" w:themeFill="background1"/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:rsidR="00EA6885" w:rsidRDefault="007E707F">
            <w:pPr>
              <w:widowControl w:val="0"/>
              <w:spacing w:line="400" w:lineRule="exact"/>
              <w:ind w:firstLine="536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429.42 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8ECC8" w:themeFill="background1"/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:rsidR="00EA6885" w:rsidRDefault="007E707F">
            <w:pPr>
              <w:widowControl w:val="0"/>
              <w:spacing w:line="400" w:lineRule="exact"/>
              <w:ind w:firstLine="536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-76.13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8ECC8" w:themeFill="background1"/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:rsidR="00EA6885" w:rsidRDefault="007E707F">
            <w:pPr>
              <w:widowControl w:val="0"/>
              <w:spacing w:line="400" w:lineRule="exact"/>
              <w:ind w:firstLine="536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-15.1 </w:t>
            </w:r>
          </w:p>
        </w:tc>
      </w:tr>
      <w:tr w:rsidR="00EA6885">
        <w:trPr>
          <w:cantSplit/>
          <w:trHeight w:val="375"/>
        </w:trPr>
        <w:tc>
          <w:tcPr>
            <w:tcW w:w="23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8ECC8" w:themeFill="background1"/>
            <w:vAlign w:val="center"/>
          </w:tcPr>
          <w:p w:rsidR="00EA6885" w:rsidRDefault="007E707F">
            <w:pPr>
              <w:widowControl w:val="0"/>
              <w:spacing w:line="400" w:lineRule="exact"/>
              <w:ind w:firstLineChars="0" w:firstLine="0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 xml:space="preserve">   </w:t>
            </w:r>
            <w:r>
              <w:rPr>
                <w:rFonts w:eastAsia="仿宋_GB2312"/>
                <w:sz w:val="28"/>
                <w:szCs w:val="32"/>
              </w:rPr>
              <w:t>石灰石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8ECC8" w:themeFill="background1"/>
            <w:vAlign w:val="center"/>
          </w:tcPr>
          <w:p w:rsidR="00EA6885" w:rsidRDefault="007E707F">
            <w:pPr>
              <w:widowControl w:val="0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万吨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8ECC8" w:themeFill="background1"/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:rsidR="00EA6885" w:rsidRDefault="007E707F">
            <w:pPr>
              <w:widowControl w:val="0"/>
              <w:spacing w:line="400" w:lineRule="exact"/>
              <w:ind w:firstLine="536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654.75 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8ECC8" w:themeFill="background1"/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:rsidR="00EA6885" w:rsidRDefault="007E707F">
            <w:pPr>
              <w:widowControl w:val="0"/>
              <w:spacing w:line="400" w:lineRule="exact"/>
              <w:ind w:firstLine="536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-43.71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C8ECC8" w:themeFill="background1"/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:rsidR="00EA6885" w:rsidRDefault="007E707F">
            <w:pPr>
              <w:widowControl w:val="0"/>
              <w:spacing w:line="400" w:lineRule="exact"/>
              <w:ind w:firstLine="536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-6.3 </w:t>
            </w:r>
          </w:p>
        </w:tc>
      </w:tr>
    </w:tbl>
    <w:p w:rsidR="00EA6885" w:rsidRDefault="007E707F">
      <w:pPr>
        <w:widowControl w:val="0"/>
        <w:spacing w:line="560" w:lineRule="exact"/>
        <w:ind w:firstLine="616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全年资质内建筑业企业完成总产值</w:t>
      </w:r>
      <w:r>
        <w:rPr>
          <w:rFonts w:eastAsia="仿宋_GB2312"/>
          <w:sz w:val="32"/>
          <w:szCs w:val="32"/>
        </w:rPr>
        <w:t>95.81</w:t>
      </w:r>
      <w:r>
        <w:rPr>
          <w:rFonts w:eastAsia="仿宋_GB2312"/>
          <w:sz w:val="32"/>
          <w:szCs w:val="32"/>
        </w:rPr>
        <w:t>亿元，比上年下降</w:t>
      </w:r>
      <w:r>
        <w:rPr>
          <w:rFonts w:eastAsia="仿宋_GB2312"/>
          <w:sz w:val="32"/>
          <w:szCs w:val="32"/>
        </w:rPr>
        <w:t>21.9%</w:t>
      </w:r>
      <w:r>
        <w:rPr>
          <w:rFonts w:eastAsia="仿宋_GB2312"/>
          <w:sz w:val="32"/>
          <w:szCs w:val="32"/>
        </w:rPr>
        <w:t>。建筑业增加值</w:t>
      </w:r>
      <w:r>
        <w:rPr>
          <w:rFonts w:eastAsia="仿宋_GB2312"/>
          <w:sz w:val="32"/>
          <w:szCs w:val="32"/>
        </w:rPr>
        <w:t>51.54</w:t>
      </w:r>
      <w:r>
        <w:rPr>
          <w:rFonts w:eastAsia="仿宋_GB2312"/>
          <w:sz w:val="32"/>
          <w:szCs w:val="32"/>
        </w:rPr>
        <w:t>亿元，下降</w:t>
      </w:r>
      <w:r>
        <w:rPr>
          <w:rFonts w:eastAsia="仿宋_GB2312"/>
          <w:sz w:val="32"/>
          <w:szCs w:val="32"/>
        </w:rPr>
        <w:t>24.2%</w:t>
      </w:r>
      <w:r>
        <w:rPr>
          <w:rFonts w:eastAsia="仿宋_GB2312"/>
          <w:sz w:val="32"/>
          <w:szCs w:val="32"/>
        </w:rPr>
        <w:t>。</w:t>
      </w:r>
    </w:p>
    <w:p w:rsidR="00EA6885" w:rsidRDefault="007E707F">
      <w:pPr>
        <w:widowControl w:val="0"/>
        <w:numPr>
          <w:ilvl w:val="0"/>
          <w:numId w:val="1"/>
        </w:numPr>
        <w:spacing w:line="560" w:lineRule="exact"/>
        <w:ind w:firstLine="616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服务业</w:t>
      </w:r>
    </w:p>
    <w:p w:rsidR="00EA6885" w:rsidRDefault="007E707F">
      <w:pPr>
        <w:widowControl w:val="0"/>
        <w:spacing w:line="560" w:lineRule="exact"/>
        <w:ind w:firstLine="61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全年批发和零售业增加值</w:t>
      </w:r>
      <w:r>
        <w:rPr>
          <w:rFonts w:eastAsia="仿宋_GB2312"/>
          <w:sz w:val="32"/>
          <w:szCs w:val="32"/>
        </w:rPr>
        <w:t>75.09</w:t>
      </w:r>
      <w:r>
        <w:rPr>
          <w:rFonts w:eastAsia="仿宋_GB2312"/>
          <w:sz w:val="32"/>
          <w:szCs w:val="32"/>
        </w:rPr>
        <w:t>亿元，比上年下降</w:t>
      </w:r>
      <w:r>
        <w:rPr>
          <w:rFonts w:eastAsia="仿宋_GB2312"/>
          <w:sz w:val="32"/>
          <w:szCs w:val="32"/>
        </w:rPr>
        <w:t>14.5%</w:t>
      </w:r>
      <w:r>
        <w:rPr>
          <w:rFonts w:eastAsia="仿宋_GB2312"/>
          <w:sz w:val="32"/>
          <w:szCs w:val="32"/>
        </w:rPr>
        <w:t>；交通运输、仓储和邮政业增加值</w:t>
      </w:r>
      <w:r>
        <w:rPr>
          <w:rFonts w:eastAsia="仿宋_GB2312"/>
          <w:sz w:val="32"/>
          <w:szCs w:val="32"/>
        </w:rPr>
        <w:t>32.95</w:t>
      </w:r>
      <w:r>
        <w:rPr>
          <w:rFonts w:eastAsia="仿宋_GB2312"/>
          <w:sz w:val="32"/>
          <w:szCs w:val="32"/>
        </w:rPr>
        <w:t>亿元，下降</w:t>
      </w:r>
      <w:r>
        <w:rPr>
          <w:rFonts w:eastAsia="仿宋_GB2312"/>
          <w:sz w:val="32"/>
          <w:szCs w:val="32"/>
        </w:rPr>
        <w:t>22.9%</w:t>
      </w:r>
      <w:r>
        <w:rPr>
          <w:rFonts w:eastAsia="仿宋_GB2312"/>
          <w:sz w:val="32"/>
          <w:szCs w:val="32"/>
        </w:rPr>
        <w:t>；住宿和餐饮业增加值</w:t>
      </w:r>
      <w:r>
        <w:rPr>
          <w:rFonts w:eastAsia="仿宋_GB2312"/>
          <w:sz w:val="32"/>
          <w:szCs w:val="32"/>
        </w:rPr>
        <w:t>30.13</w:t>
      </w:r>
      <w:r>
        <w:rPr>
          <w:rFonts w:eastAsia="仿宋_GB2312"/>
          <w:sz w:val="32"/>
          <w:szCs w:val="32"/>
        </w:rPr>
        <w:t>亿元，下降</w:t>
      </w:r>
      <w:r>
        <w:rPr>
          <w:rFonts w:eastAsia="仿宋_GB2312"/>
          <w:sz w:val="32"/>
          <w:szCs w:val="32"/>
        </w:rPr>
        <w:t>32.7%</w:t>
      </w:r>
      <w:r>
        <w:rPr>
          <w:rFonts w:eastAsia="仿宋_GB2312"/>
          <w:sz w:val="32"/>
          <w:szCs w:val="32"/>
        </w:rPr>
        <w:t>；金融业增加值</w:t>
      </w:r>
      <w:r>
        <w:rPr>
          <w:rFonts w:eastAsia="仿宋_GB2312"/>
          <w:sz w:val="32"/>
          <w:szCs w:val="32"/>
        </w:rPr>
        <w:t>73.07</w:t>
      </w:r>
      <w:r>
        <w:rPr>
          <w:rFonts w:eastAsia="仿宋_GB2312"/>
          <w:sz w:val="32"/>
          <w:szCs w:val="32"/>
        </w:rPr>
        <w:lastRenderedPageBreak/>
        <w:t>亿元，增长</w:t>
      </w:r>
      <w:r>
        <w:rPr>
          <w:rFonts w:eastAsia="仿宋_GB2312"/>
          <w:sz w:val="32"/>
          <w:szCs w:val="32"/>
        </w:rPr>
        <w:t>4.5%</w:t>
      </w:r>
      <w:r>
        <w:rPr>
          <w:rFonts w:eastAsia="仿宋_GB2312"/>
          <w:sz w:val="32"/>
          <w:szCs w:val="32"/>
        </w:rPr>
        <w:t>；房地产业增加值</w:t>
      </w:r>
      <w:r>
        <w:rPr>
          <w:rFonts w:eastAsia="仿宋_GB2312"/>
          <w:sz w:val="32"/>
          <w:szCs w:val="32"/>
        </w:rPr>
        <w:t>129.01</w:t>
      </w:r>
      <w:r>
        <w:rPr>
          <w:rFonts w:eastAsia="仿宋_GB2312"/>
          <w:sz w:val="32"/>
          <w:szCs w:val="32"/>
        </w:rPr>
        <w:t>亿元，增长</w:t>
      </w:r>
      <w:r>
        <w:rPr>
          <w:rFonts w:eastAsia="仿宋_GB2312"/>
          <w:sz w:val="32"/>
          <w:szCs w:val="32"/>
        </w:rPr>
        <w:t>2.7%</w:t>
      </w:r>
      <w:r>
        <w:rPr>
          <w:rFonts w:eastAsia="仿宋_GB2312"/>
          <w:sz w:val="32"/>
          <w:szCs w:val="32"/>
        </w:rPr>
        <w:t>；信息传输、软件和信息技术服务业增加值</w:t>
      </w:r>
      <w:r>
        <w:rPr>
          <w:rFonts w:eastAsia="仿宋_GB2312"/>
          <w:sz w:val="32"/>
          <w:szCs w:val="32"/>
        </w:rPr>
        <w:t>26.92</w:t>
      </w:r>
      <w:r>
        <w:rPr>
          <w:rFonts w:eastAsia="仿宋_GB2312"/>
          <w:sz w:val="32"/>
          <w:szCs w:val="32"/>
        </w:rPr>
        <w:t>亿元，增长</w:t>
      </w:r>
      <w:r>
        <w:rPr>
          <w:rFonts w:eastAsia="仿宋_GB2312"/>
          <w:sz w:val="32"/>
          <w:szCs w:val="32"/>
        </w:rPr>
        <w:t>22.9%</w:t>
      </w:r>
      <w:r>
        <w:rPr>
          <w:rFonts w:eastAsia="仿宋_GB2312"/>
          <w:sz w:val="32"/>
          <w:szCs w:val="32"/>
        </w:rPr>
        <w:t>。</w:t>
      </w:r>
      <w:bookmarkStart w:id="0" w:name="_GoBack"/>
      <w:bookmarkEnd w:id="0"/>
    </w:p>
    <w:p w:rsidR="00EA6885" w:rsidRDefault="007E707F">
      <w:pPr>
        <w:widowControl w:val="0"/>
        <w:spacing w:line="560" w:lineRule="exact"/>
        <w:ind w:firstLine="53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288925</wp:posOffset>
            </wp:positionH>
            <wp:positionV relativeFrom="page">
              <wp:posOffset>1904365</wp:posOffset>
            </wp:positionV>
            <wp:extent cx="4805045" cy="2393950"/>
            <wp:effectExtent l="0" t="0" r="0" b="6350"/>
            <wp:wrapTopAndBottom/>
            <wp:docPr id="3" name="对象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>
        <w:rPr>
          <w:rFonts w:eastAsia="仿宋_GB2312"/>
          <w:kern w:val="0"/>
          <w:sz w:val="32"/>
          <w:szCs w:val="32"/>
        </w:rPr>
        <w:t>全年运输旅客</w:t>
      </w:r>
      <w:r>
        <w:rPr>
          <w:rFonts w:eastAsia="仿宋_GB2312"/>
          <w:kern w:val="0"/>
          <w:sz w:val="32"/>
          <w:szCs w:val="32"/>
        </w:rPr>
        <w:t>2825.74</w:t>
      </w:r>
      <w:r>
        <w:rPr>
          <w:rFonts w:eastAsia="仿宋_GB2312"/>
          <w:kern w:val="0"/>
          <w:sz w:val="32"/>
          <w:szCs w:val="32"/>
        </w:rPr>
        <w:t>万人次，运输货物</w:t>
      </w:r>
      <w:r>
        <w:rPr>
          <w:rFonts w:eastAsia="仿宋_GB2312"/>
          <w:kern w:val="0"/>
          <w:sz w:val="32"/>
          <w:szCs w:val="32"/>
        </w:rPr>
        <w:t>3804.02</w:t>
      </w:r>
      <w:r>
        <w:rPr>
          <w:rFonts w:eastAsia="仿宋_GB2312"/>
          <w:kern w:val="0"/>
          <w:sz w:val="32"/>
          <w:szCs w:val="32"/>
        </w:rPr>
        <w:t>万吨。</w:t>
      </w:r>
    </w:p>
    <w:tbl>
      <w:tblPr>
        <w:tblW w:w="8418" w:type="dxa"/>
        <w:tblInd w:w="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8ECC8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1418"/>
        <w:gridCol w:w="1982"/>
        <w:gridCol w:w="2128"/>
      </w:tblGrid>
      <w:tr w:rsidR="00EA6885">
        <w:trPr>
          <w:trHeight w:val="538"/>
        </w:trPr>
        <w:tc>
          <w:tcPr>
            <w:tcW w:w="841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ECC8" w:themeFill="background1"/>
            <w:vAlign w:val="center"/>
          </w:tcPr>
          <w:p w:rsidR="00EA6885" w:rsidRDefault="007E707F">
            <w:pPr>
              <w:widowControl w:val="0"/>
              <w:adjustRightInd w:val="0"/>
              <w:snapToGrid w:val="0"/>
              <w:spacing w:line="560" w:lineRule="exact"/>
              <w:ind w:firstLine="53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表</w:t>
            </w:r>
            <w:r>
              <w:rPr>
                <w:rFonts w:eastAsia="黑体"/>
                <w:kern w:val="0"/>
                <w:sz w:val="28"/>
                <w:szCs w:val="28"/>
              </w:rPr>
              <w:t>2   2020</w:t>
            </w:r>
            <w:r>
              <w:rPr>
                <w:rFonts w:eastAsia="黑体"/>
                <w:kern w:val="0"/>
                <w:sz w:val="28"/>
                <w:szCs w:val="28"/>
              </w:rPr>
              <w:t>年各种运输方式</w:t>
            </w:r>
            <w:r>
              <w:rPr>
                <w:rFonts w:eastAsia="黑体" w:hint="eastAsia"/>
                <w:kern w:val="0"/>
                <w:sz w:val="28"/>
                <w:szCs w:val="28"/>
              </w:rPr>
              <w:t>客</w:t>
            </w:r>
            <w:r>
              <w:rPr>
                <w:rFonts w:eastAsia="黑体"/>
                <w:kern w:val="0"/>
                <w:sz w:val="28"/>
                <w:szCs w:val="28"/>
              </w:rPr>
              <w:t>货</w:t>
            </w:r>
            <w:r>
              <w:rPr>
                <w:rFonts w:eastAsia="黑体" w:hint="eastAsia"/>
                <w:kern w:val="0"/>
                <w:sz w:val="28"/>
                <w:szCs w:val="28"/>
              </w:rPr>
              <w:t>运</w:t>
            </w:r>
            <w:r>
              <w:rPr>
                <w:rFonts w:eastAsia="黑体"/>
                <w:kern w:val="0"/>
                <w:sz w:val="28"/>
                <w:szCs w:val="28"/>
              </w:rPr>
              <w:t>量</w:t>
            </w:r>
          </w:p>
        </w:tc>
      </w:tr>
      <w:tr w:rsidR="00EA6885">
        <w:trPr>
          <w:trHeight w:val="392"/>
        </w:trPr>
        <w:tc>
          <w:tcPr>
            <w:tcW w:w="289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E6B7" w:themeFill="background1" w:themeFillShade="F2"/>
            <w:vAlign w:val="center"/>
          </w:tcPr>
          <w:p w:rsidR="00EA6885" w:rsidRDefault="007E707F">
            <w:pPr>
              <w:widowControl w:val="0"/>
              <w:spacing w:line="500" w:lineRule="exact"/>
              <w:ind w:firstLineChars="0" w:firstLine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指标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7E6B7" w:themeFill="background1" w:themeFillShade="F2"/>
            <w:vAlign w:val="center"/>
          </w:tcPr>
          <w:p w:rsidR="00EA6885" w:rsidRDefault="007E707F">
            <w:pPr>
              <w:widowControl w:val="0"/>
              <w:spacing w:line="500" w:lineRule="exact"/>
              <w:ind w:firstLineChars="0" w:firstLine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单位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7E6B7" w:themeFill="background1" w:themeFillShade="F2"/>
            <w:vAlign w:val="center"/>
          </w:tcPr>
          <w:p w:rsidR="00EA6885" w:rsidRDefault="007E707F">
            <w:pPr>
              <w:widowControl w:val="0"/>
              <w:spacing w:line="500" w:lineRule="exact"/>
              <w:ind w:firstLineChars="0" w:firstLine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绝对数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7E6B7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6885" w:rsidRDefault="007E707F">
            <w:pPr>
              <w:widowControl w:val="0"/>
              <w:spacing w:line="500" w:lineRule="exact"/>
              <w:ind w:firstLineChars="0" w:firstLine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比上年增减％</w:t>
            </w:r>
          </w:p>
        </w:tc>
      </w:tr>
      <w:tr w:rsidR="00EA6885">
        <w:trPr>
          <w:trHeight w:val="454"/>
        </w:trPr>
        <w:tc>
          <w:tcPr>
            <w:tcW w:w="2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8ECC8" w:themeFill="background1"/>
            <w:vAlign w:val="center"/>
          </w:tcPr>
          <w:p w:rsidR="00EA6885" w:rsidRDefault="007E707F" w:rsidP="00C75A25">
            <w:pPr>
              <w:widowControl w:val="0"/>
              <w:spacing w:line="400" w:lineRule="exact"/>
              <w:ind w:firstLineChars="100" w:firstLine="269"/>
              <w:jc w:val="left"/>
              <w:rPr>
                <w:rFonts w:eastAsia="仿宋_GB2312"/>
                <w:b/>
                <w:sz w:val="28"/>
                <w:szCs w:val="32"/>
              </w:rPr>
            </w:pPr>
            <w:r>
              <w:rPr>
                <w:rFonts w:eastAsia="仿宋_GB2312"/>
                <w:b/>
                <w:sz w:val="28"/>
                <w:szCs w:val="32"/>
              </w:rPr>
              <w:t>旅客运输量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8ECC8" w:themeFill="background1"/>
            <w:vAlign w:val="center"/>
          </w:tcPr>
          <w:p w:rsidR="00EA6885" w:rsidRDefault="007E707F">
            <w:pPr>
              <w:widowControl w:val="0"/>
              <w:spacing w:line="400" w:lineRule="exact"/>
              <w:ind w:firstLineChars="0" w:firstLine="0"/>
              <w:jc w:val="center"/>
              <w:rPr>
                <w:rFonts w:eastAsia="仿宋_GB2312"/>
                <w:b/>
                <w:sz w:val="28"/>
                <w:szCs w:val="32"/>
              </w:rPr>
            </w:pPr>
            <w:proofErr w:type="gramStart"/>
            <w:r>
              <w:rPr>
                <w:rFonts w:eastAsia="仿宋_GB2312"/>
                <w:b/>
                <w:sz w:val="28"/>
                <w:szCs w:val="32"/>
              </w:rPr>
              <w:t>万人</w:t>
            </w:r>
            <w:r>
              <w:rPr>
                <w:rFonts w:eastAsia="仿宋_GB2312" w:hint="eastAsia"/>
                <w:b/>
                <w:sz w:val="28"/>
                <w:szCs w:val="32"/>
              </w:rPr>
              <w:t>次</w:t>
            </w:r>
            <w:proofErr w:type="gramEnd"/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8ECC8" w:themeFill="background1"/>
            <w:tcMar>
              <w:right w:w="227" w:type="dxa"/>
            </w:tcMar>
            <w:vAlign w:val="center"/>
          </w:tcPr>
          <w:p w:rsidR="00EA6885" w:rsidRDefault="007E707F">
            <w:pPr>
              <w:widowControl w:val="0"/>
              <w:spacing w:line="400" w:lineRule="exact"/>
              <w:ind w:firstLineChars="0" w:firstLine="0"/>
              <w:jc w:val="right"/>
              <w:rPr>
                <w:rFonts w:eastAsia="仿宋_GB2312"/>
                <w:b/>
                <w:sz w:val="28"/>
                <w:szCs w:val="32"/>
              </w:rPr>
            </w:pPr>
            <w:r>
              <w:rPr>
                <w:rFonts w:eastAsia="仿宋_GB2312"/>
                <w:b/>
                <w:sz w:val="28"/>
                <w:szCs w:val="32"/>
              </w:rPr>
              <w:t>2825.74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8ECC8" w:themeFill="background1"/>
            <w:tcMar>
              <w:top w:w="0" w:type="dxa"/>
              <w:left w:w="0" w:type="dxa"/>
              <w:bottom w:w="0" w:type="dxa"/>
              <w:right w:w="227" w:type="dxa"/>
            </w:tcMar>
            <w:vAlign w:val="center"/>
          </w:tcPr>
          <w:p w:rsidR="00EA6885" w:rsidRDefault="007E707F">
            <w:pPr>
              <w:widowControl w:val="0"/>
              <w:spacing w:line="400" w:lineRule="exact"/>
              <w:ind w:firstLineChars="0" w:firstLine="0"/>
              <w:jc w:val="right"/>
              <w:rPr>
                <w:rFonts w:eastAsia="仿宋_GB2312"/>
                <w:b/>
                <w:sz w:val="28"/>
                <w:szCs w:val="32"/>
              </w:rPr>
            </w:pPr>
            <w:r>
              <w:rPr>
                <w:rFonts w:eastAsia="仿宋_GB2312"/>
                <w:b/>
                <w:sz w:val="28"/>
                <w:szCs w:val="32"/>
              </w:rPr>
              <w:t>-41.9</w:t>
            </w:r>
          </w:p>
        </w:tc>
      </w:tr>
      <w:tr w:rsidR="00EA6885">
        <w:trPr>
          <w:trHeight w:val="454"/>
        </w:trPr>
        <w:tc>
          <w:tcPr>
            <w:tcW w:w="2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8ECC8" w:themeFill="background1"/>
            <w:vAlign w:val="center"/>
          </w:tcPr>
          <w:p w:rsidR="00EA6885" w:rsidRDefault="007E707F">
            <w:pPr>
              <w:widowControl w:val="0"/>
              <w:spacing w:line="400" w:lineRule="exact"/>
              <w:ind w:firstLine="536"/>
              <w:jc w:val="lef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公</w:t>
            </w:r>
            <w:r>
              <w:rPr>
                <w:rFonts w:eastAsia="仿宋_GB2312"/>
                <w:sz w:val="28"/>
                <w:szCs w:val="32"/>
              </w:rPr>
              <w:t xml:space="preserve"> </w:t>
            </w:r>
            <w:r>
              <w:rPr>
                <w:rFonts w:eastAsia="仿宋_GB2312"/>
                <w:sz w:val="28"/>
                <w:szCs w:val="32"/>
              </w:rPr>
              <w:t>路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8ECC8" w:themeFill="background1"/>
            <w:vAlign w:val="center"/>
          </w:tcPr>
          <w:p w:rsidR="00EA6885" w:rsidRDefault="007E707F">
            <w:pPr>
              <w:widowControl w:val="0"/>
              <w:spacing w:line="400" w:lineRule="exact"/>
              <w:ind w:firstLineChars="0" w:firstLine="0"/>
              <w:jc w:val="center"/>
              <w:rPr>
                <w:rFonts w:eastAsia="仿宋_GB2312"/>
                <w:sz w:val="28"/>
                <w:szCs w:val="32"/>
              </w:rPr>
            </w:pPr>
            <w:proofErr w:type="gramStart"/>
            <w:r>
              <w:rPr>
                <w:rFonts w:eastAsia="仿宋_GB2312"/>
                <w:sz w:val="28"/>
                <w:szCs w:val="32"/>
              </w:rPr>
              <w:t>万人</w:t>
            </w:r>
            <w:r>
              <w:rPr>
                <w:rFonts w:eastAsia="仿宋_GB2312" w:hint="eastAsia"/>
                <w:sz w:val="28"/>
                <w:szCs w:val="32"/>
              </w:rPr>
              <w:t>次</w:t>
            </w:r>
            <w:proofErr w:type="gramEnd"/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right w:w="227" w:type="dxa"/>
            </w:tcMar>
            <w:vAlign w:val="center"/>
          </w:tcPr>
          <w:p w:rsidR="00EA6885" w:rsidRDefault="007E707F">
            <w:pPr>
              <w:spacing w:line="400" w:lineRule="exact"/>
              <w:ind w:firstLineChars="0" w:firstLine="0"/>
              <w:jc w:val="righ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2344.16 </w:t>
            </w: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27" w:type="dxa"/>
            </w:tcMar>
            <w:vAlign w:val="center"/>
          </w:tcPr>
          <w:p w:rsidR="00EA6885" w:rsidRDefault="007E707F">
            <w:pPr>
              <w:spacing w:line="400" w:lineRule="exact"/>
              <w:ind w:firstLineChars="0" w:firstLine="0"/>
              <w:jc w:val="righ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-40.0 </w:t>
            </w:r>
          </w:p>
        </w:tc>
      </w:tr>
      <w:tr w:rsidR="00EA6885">
        <w:trPr>
          <w:trHeight w:val="454"/>
        </w:trPr>
        <w:tc>
          <w:tcPr>
            <w:tcW w:w="2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8ECC8" w:themeFill="background1"/>
            <w:vAlign w:val="center"/>
          </w:tcPr>
          <w:p w:rsidR="00EA6885" w:rsidRDefault="007E707F">
            <w:pPr>
              <w:widowControl w:val="0"/>
              <w:spacing w:line="400" w:lineRule="exact"/>
              <w:ind w:firstLine="536"/>
              <w:jc w:val="lef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水</w:t>
            </w:r>
            <w:r>
              <w:rPr>
                <w:rFonts w:eastAsia="仿宋_GB2312"/>
                <w:sz w:val="28"/>
                <w:szCs w:val="32"/>
              </w:rPr>
              <w:t xml:space="preserve"> </w:t>
            </w:r>
            <w:r>
              <w:rPr>
                <w:rFonts w:eastAsia="仿宋_GB2312"/>
                <w:sz w:val="28"/>
                <w:szCs w:val="32"/>
              </w:rPr>
              <w:t>路</w:t>
            </w:r>
            <w:r>
              <w:rPr>
                <w:rFonts w:eastAsia="仿宋_GB2312"/>
                <w:sz w:val="28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8ECC8" w:themeFill="background1"/>
            <w:vAlign w:val="center"/>
          </w:tcPr>
          <w:p w:rsidR="00EA6885" w:rsidRDefault="007E707F">
            <w:pPr>
              <w:widowControl w:val="0"/>
              <w:spacing w:line="400" w:lineRule="exact"/>
              <w:ind w:firstLineChars="0" w:firstLine="0"/>
              <w:jc w:val="center"/>
              <w:rPr>
                <w:rFonts w:eastAsia="仿宋_GB2312"/>
                <w:sz w:val="28"/>
                <w:szCs w:val="32"/>
              </w:rPr>
            </w:pPr>
            <w:proofErr w:type="gramStart"/>
            <w:r>
              <w:rPr>
                <w:rFonts w:eastAsia="仿宋_GB2312"/>
                <w:sz w:val="28"/>
                <w:szCs w:val="32"/>
              </w:rPr>
              <w:t>万人</w:t>
            </w:r>
            <w:r>
              <w:rPr>
                <w:rFonts w:eastAsia="仿宋_GB2312" w:hint="eastAsia"/>
                <w:sz w:val="28"/>
                <w:szCs w:val="32"/>
              </w:rPr>
              <w:t>次</w:t>
            </w:r>
            <w:proofErr w:type="gramEnd"/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right w:w="227" w:type="dxa"/>
            </w:tcMar>
            <w:vAlign w:val="center"/>
          </w:tcPr>
          <w:p w:rsidR="00EA6885" w:rsidRDefault="007E707F">
            <w:pPr>
              <w:spacing w:line="400" w:lineRule="exact"/>
              <w:ind w:firstLine="53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28.04 </w:t>
            </w: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27" w:type="dxa"/>
            </w:tcMar>
            <w:vAlign w:val="center"/>
          </w:tcPr>
          <w:p w:rsidR="00EA6885" w:rsidRDefault="007E707F">
            <w:pPr>
              <w:spacing w:line="400" w:lineRule="exact"/>
              <w:ind w:firstLine="53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-55.5 </w:t>
            </w:r>
          </w:p>
        </w:tc>
      </w:tr>
      <w:tr w:rsidR="00EA6885">
        <w:trPr>
          <w:trHeight w:val="454"/>
        </w:trPr>
        <w:tc>
          <w:tcPr>
            <w:tcW w:w="2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8ECC8" w:themeFill="background1"/>
            <w:vAlign w:val="center"/>
          </w:tcPr>
          <w:p w:rsidR="00EA6885" w:rsidRDefault="007E707F">
            <w:pPr>
              <w:widowControl w:val="0"/>
              <w:spacing w:line="400" w:lineRule="exact"/>
              <w:ind w:firstLine="536"/>
              <w:jc w:val="lef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航</w:t>
            </w:r>
            <w:r>
              <w:rPr>
                <w:rFonts w:eastAsia="仿宋_GB2312"/>
                <w:sz w:val="28"/>
                <w:szCs w:val="32"/>
              </w:rPr>
              <w:t xml:space="preserve"> </w:t>
            </w:r>
            <w:r>
              <w:rPr>
                <w:rFonts w:eastAsia="仿宋_GB2312"/>
                <w:sz w:val="28"/>
                <w:szCs w:val="32"/>
              </w:rPr>
              <w:t>空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8ECC8" w:themeFill="background1"/>
            <w:vAlign w:val="center"/>
          </w:tcPr>
          <w:p w:rsidR="00EA6885" w:rsidRDefault="007E707F">
            <w:pPr>
              <w:widowControl w:val="0"/>
              <w:spacing w:line="400" w:lineRule="exact"/>
              <w:ind w:firstLineChars="0" w:firstLine="0"/>
              <w:jc w:val="center"/>
              <w:rPr>
                <w:rFonts w:eastAsia="仿宋_GB2312"/>
                <w:sz w:val="28"/>
                <w:szCs w:val="32"/>
              </w:rPr>
            </w:pPr>
            <w:proofErr w:type="gramStart"/>
            <w:r>
              <w:rPr>
                <w:rFonts w:eastAsia="仿宋_GB2312"/>
                <w:sz w:val="28"/>
                <w:szCs w:val="32"/>
              </w:rPr>
              <w:t>万人</w:t>
            </w:r>
            <w:r>
              <w:rPr>
                <w:rFonts w:eastAsia="仿宋_GB2312" w:hint="eastAsia"/>
                <w:sz w:val="28"/>
                <w:szCs w:val="32"/>
              </w:rPr>
              <w:t>次</w:t>
            </w:r>
            <w:proofErr w:type="gramEnd"/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right w:w="227" w:type="dxa"/>
            </w:tcMar>
            <w:vAlign w:val="center"/>
          </w:tcPr>
          <w:p w:rsidR="00EA6885" w:rsidRDefault="007E707F">
            <w:pPr>
              <w:spacing w:line="400" w:lineRule="exact"/>
              <w:ind w:firstLine="53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93.29 </w:t>
            </w: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27" w:type="dxa"/>
            </w:tcMar>
            <w:vAlign w:val="center"/>
          </w:tcPr>
          <w:p w:rsidR="00EA6885" w:rsidRDefault="007E707F">
            <w:pPr>
              <w:spacing w:line="400" w:lineRule="exact"/>
              <w:ind w:firstLine="53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-34.6 </w:t>
            </w:r>
          </w:p>
        </w:tc>
      </w:tr>
      <w:tr w:rsidR="00EA6885">
        <w:trPr>
          <w:trHeight w:val="454"/>
        </w:trPr>
        <w:tc>
          <w:tcPr>
            <w:tcW w:w="2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8ECC8" w:themeFill="background1"/>
            <w:vAlign w:val="center"/>
          </w:tcPr>
          <w:p w:rsidR="00EA6885" w:rsidRDefault="007E707F">
            <w:pPr>
              <w:widowControl w:val="0"/>
              <w:spacing w:line="400" w:lineRule="exact"/>
              <w:ind w:firstLine="536"/>
              <w:jc w:val="lef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铁</w:t>
            </w:r>
            <w:r>
              <w:rPr>
                <w:rFonts w:eastAsia="仿宋_GB2312"/>
                <w:sz w:val="28"/>
                <w:szCs w:val="32"/>
              </w:rPr>
              <w:t xml:space="preserve"> </w:t>
            </w:r>
            <w:r>
              <w:rPr>
                <w:rFonts w:eastAsia="仿宋_GB2312"/>
                <w:sz w:val="28"/>
                <w:szCs w:val="32"/>
              </w:rPr>
              <w:t>路（发送）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8ECC8" w:themeFill="background1"/>
            <w:vAlign w:val="center"/>
          </w:tcPr>
          <w:p w:rsidR="00EA6885" w:rsidRDefault="007E707F">
            <w:pPr>
              <w:widowControl w:val="0"/>
              <w:spacing w:line="400" w:lineRule="exact"/>
              <w:ind w:firstLineChars="0" w:firstLine="0"/>
              <w:jc w:val="center"/>
              <w:rPr>
                <w:rFonts w:eastAsia="仿宋_GB2312"/>
                <w:sz w:val="28"/>
                <w:szCs w:val="32"/>
              </w:rPr>
            </w:pPr>
            <w:proofErr w:type="gramStart"/>
            <w:r>
              <w:rPr>
                <w:rFonts w:eastAsia="仿宋_GB2312"/>
                <w:sz w:val="28"/>
                <w:szCs w:val="32"/>
              </w:rPr>
              <w:t>万人</w:t>
            </w:r>
            <w:r>
              <w:rPr>
                <w:rFonts w:eastAsia="仿宋_GB2312" w:hint="eastAsia"/>
                <w:sz w:val="28"/>
                <w:szCs w:val="32"/>
              </w:rPr>
              <w:t>次</w:t>
            </w:r>
            <w:proofErr w:type="gramEnd"/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right w:w="227" w:type="dxa"/>
            </w:tcMar>
            <w:vAlign w:val="center"/>
          </w:tcPr>
          <w:p w:rsidR="00EA6885" w:rsidRDefault="007E707F">
            <w:pPr>
              <w:spacing w:line="400" w:lineRule="exact"/>
              <w:ind w:firstLine="53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359.98 </w:t>
            </w: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27" w:type="dxa"/>
            </w:tcMar>
            <w:vAlign w:val="center"/>
          </w:tcPr>
          <w:p w:rsidR="00EA6885" w:rsidRDefault="007E707F">
            <w:pPr>
              <w:spacing w:line="400" w:lineRule="exact"/>
              <w:ind w:firstLine="53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-52.0 </w:t>
            </w:r>
          </w:p>
        </w:tc>
      </w:tr>
      <w:tr w:rsidR="00EA6885">
        <w:trPr>
          <w:trHeight w:val="454"/>
        </w:trPr>
        <w:tc>
          <w:tcPr>
            <w:tcW w:w="2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8ECC8" w:themeFill="background1"/>
            <w:vAlign w:val="center"/>
          </w:tcPr>
          <w:p w:rsidR="00EA6885" w:rsidRDefault="007E707F" w:rsidP="00C75A25">
            <w:pPr>
              <w:widowControl w:val="0"/>
              <w:spacing w:line="400" w:lineRule="exact"/>
              <w:ind w:firstLineChars="100" w:firstLine="269"/>
              <w:jc w:val="left"/>
              <w:rPr>
                <w:rFonts w:eastAsia="仿宋_GB2312"/>
                <w:b/>
                <w:sz w:val="28"/>
                <w:szCs w:val="32"/>
              </w:rPr>
            </w:pPr>
            <w:r>
              <w:rPr>
                <w:rFonts w:eastAsia="仿宋_GB2312"/>
                <w:b/>
                <w:sz w:val="28"/>
                <w:szCs w:val="32"/>
              </w:rPr>
              <w:t>货物运输量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8ECC8" w:themeFill="background1"/>
            <w:vAlign w:val="center"/>
          </w:tcPr>
          <w:p w:rsidR="00EA6885" w:rsidRDefault="007E707F">
            <w:pPr>
              <w:widowControl w:val="0"/>
              <w:spacing w:line="400" w:lineRule="exact"/>
              <w:ind w:firstLineChars="0" w:firstLine="0"/>
              <w:jc w:val="center"/>
              <w:rPr>
                <w:rFonts w:eastAsia="仿宋_GB2312"/>
                <w:b/>
                <w:sz w:val="28"/>
                <w:szCs w:val="32"/>
              </w:rPr>
            </w:pPr>
            <w:r>
              <w:rPr>
                <w:rFonts w:eastAsia="仿宋_GB2312"/>
                <w:b/>
                <w:sz w:val="28"/>
                <w:szCs w:val="32"/>
              </w:rPr>
              <w:t>万吨</w:t>
            </w: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8ECC8" w:themeFill="background1"/>
            <w:tcMar>
              <w:right w:w="227" w:type="dxa"/>
            </w:tcMar>
            <w:vAlign w:val="center"/>
          </w:tcPr>
          <w:p w:rsidR="00EA6885" w:rsidRDefault="007E707F">
            <w:pPr>
              <w:widowControl w:val="0"/>
              <w:spacing w:line="400" w:lineRule="exact"/>
              <w:ind w:firstLineChars="0" w:firstLine="0"/>
              <w:jc w:val="righ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3804.02</w:t>
            </w: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8ECC8" w:themeFill="background1"/>
            <w:tcMar>
              <w:top w:w="0" w:type="dxa"/>
              <w:left w:w="0" w:type="dxa"/>
              <w:bottom w:w="0" w:type="dxa"/>
              <w:right w:w="227" w:type="dxa"/>
            </w:tcMar>
            <w:vAlign w:val="center"/>
          </w:tcPr>
          <w:p w:rsidR="00EA6885" w:rsidRDefault="007E707F">
            <w:pPr>
              <w:widowControl w:val="0"/>
              <w:spacing w:line="400" w:lineRule="exact"/>
              <w:ind w:firstLineChars="0" w:firstLine="0"/>
              <w:jc w:val="righ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-31.1</w:t>
            </w:r>
          </w:p>
        </w:tc>
      </w:tr>
      <w:tr w:rsidR="00EA6885">
        <w:trPr>
          <w:trHeight w:val="454"/>
        </w:trPr>
        <w:tc>
          <w:tcPr>
            <w:tcW w:w="2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8ECC8" w:themeFill="background1"/>
            <w:vAlign w:val="center"/>
          </w:tcPr>
          <w:p w:rsidR="00EA6885" w:rsidRDefault="007E707F">
            <w:pPr>
              <w:widowControl w:val="0"/>
              <w:spacing w:line="400" w:lineRule="exact"/>
              <w:ind w:firstLine="536"/>
              <w:jc w:val="lef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公</w:t>
            </w:r>
            <w:r>
              <w:rPr>
                <w:rFonts w:eastAsia="仿宋_GB2312"/>
                <w:sz w:val="28"/>
                <w:szCs w:val="32"/>
              </w:rPr>
              <w:t xml:space="preserve"> </w:t>
            </w:r>
            <w:r>
              <w:rPr>
                <w:rFonts w:eastAsia="仿宋_GB2312"/>
                <w:sz w:val="28"/>
                <w:szCs w:val="32"/>
              </w:rPr>
              <w:t>路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8ECC8" w:themeFill="background1"/>
            <w:vAlign w:val="center"/>
          </w:tcPr>
          <w:p w:rsidR="00EA6885" w:rsidRDefault="007E707F">
            <w:pPr>
              <w:widowControl w:val="0"/>
              <w:spacing w:line="400" w:lineRule="exact"/>
              <w:ind w:firstLineChars="0" w:firstLine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万吨</w:t>
            </w: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right w:w="227" w:type="dxa"/>
            </w:tcMar>
            <w:vAlign w:val="center"/>
          </w:tcPr>
          <w:p w:rsidR="00EA6885" w:rsidRDefault="007E707F">
            <w:pPr>
              <w:spacing w:line="400" w:lineRule="exact"/>
              <w:ind w:firstLineChars="0" w:firstLine="0"/>
              <w:jc w:val="righ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3673.93 </w:t>
            </w: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27" w:type="dxa"/>
            </w:tcMar>
            <w:vAlign w:val="center"/>
          </w:tcPr>
          <w:p w:rsidR="00EA6885" w:rsidRDefault="007E707F">
            <w:pPr>
              <w:spacing w:line="400" w:lineRule="exact"/>
              <w:ind w:firstLineChars="0" w:firstLine="0"/>
              <w:jc w:val="righ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-32.3 </w:t>
            </w:r>
          </w:p>
        </w:tc>
      </w:tr>
      <w:tr w:rsidR="00EA6885">
        <w:trPr>
          <w:trHeight w:val="454"/>
        </w:trPr>
        <w:tc>
          <w:tcPr>
            <w:tcW w:w="2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8ECC8" w:themeFill="background1"/>
            <w:vAlign w:val="center"/>
          </w:tcPr>
          <w:p w:rsidR="00EA6885" w:rsidRDefault="007E707F">
            <w:pPr>
              <w:widowControl w:val="0"/>
              <w:spacing w:line="400" w:lineRule="exact"/>
              <w:ind w:firstLine="536"/>
              <w:jc w:val="lef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水</w:t>
            </w:r>
            <w:r>
              <w:rPr>
                <w:rFonts w:eastAsia="仿宋_GB2312"/>
                <w:sz w:val="28"/>
                <w:szCs w:val="32"/>
              </w:rPr>
              <w:t xml:space="preserve"> </w:t>
            </w:r>
            <w:r>
              <w:rPr>
                <w:rFonts w:eastAsia="仿宋_GB2312"/>
                <w:sz w:val="28"/>
                <w:szCs w:val="32"/>
              </w:rPr>
              <w:t>路</w:t>
            </w:r>
            <w:r>
              <w:rPr>
                <w:rFonts w:eastAsia="仿宋_GB2312"/>
                <w:sz w:val="28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8ECC8" w:themeFill="background1"/>
            <w:vAlign w:val="center"/>
          </w:tcPr>
          <w:p w:rsidR="00EA6885" w:rsidRDefault="007E707F">
            <w:pPr>
              <w:widowControl w:val="0"/>
              <w:spacing w:line="400" w:lineRule="exact"/>
              <w:ind w:firstLineChars="0" w:firstLine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万吨</w:t>
            </w: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right w:w="227" w:type="dxa"/>
            </w:tcMar>
            <w:vAlign w:val="center"/>
          </w:tcPr>
          <w:p w:rsidR="00EA6885" w:rsidRDefault="007E707F">
            <w:pPr>
              <w:spacing w:line="400" w:lineRule="exact"/>
              <w:ind w:firstLine="53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124.22 </w:t>
            </w: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27" w:type="dxa"/>
            </w:tcMar>
            <w:vAlign w:val="center"/>
          </w:tcPr>
          <w:p w:rsidR="00EA6885" w:rsidRDefault="007E707F">
            <w:pPr>
              <w:spacing w:line="400" w:lineRule="exact"/>
              <w:ind w:firstLine="53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42.9 </w:t>
            </w:r>
          </w:p>
        </w:tc>
      </w:tr>
      <w:tr w:rsidR="00EA6885">
        <w:trPr>
          <w:trHeight w:val="454"/>
        </w:trPr>
        <w:tc>
          <w:tcPr>
            <w:tcW w:w="2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8ECC8" w:themeFill="background1"/>
            <w:vAlign w:val="center"/>
          </w:tcPr>
          <w:p w:rsidR="00EA6885" w:rsidRDefault="007E707F">
            <w:pPr>
              <w:widowControl w:val="0"/>
              <w:spacing w:line="400" w:lineRule="exact"/>
              <w:ind w:firstLine="536"/>
              <w:jc w:val="lef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航</w:t>
            </w:r>
            <w:r>
              <w:rPr>
                <w:rFonts w:eastAsia="仿宋_GB2312"/>
                <w:sz w:val="28"/>
                <w:szCs w:val="32"/>
              </w:rPr>
              <w:t xml:space="preserve"> </w:t>
            </w:r>
            <w:r>
              <w:rPr>
                <w:rFonts w:eastAsia="仿宋_GB2312"/>
                <w:sz w:val="28"/>
                <w:szCs w:val="32"/>
              </w:rPr>
              <w:t>空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8ECC8" w:themeFill="background1"/>
            <w:vAlign w:val="center"/>
          </w:tcPr>
          <w:p w:rsidR="00EA6885" w:rsidRDefault="007E707F">
            <w:pPr>
              <w:widowControl w:val="0"/>
              <w:spacing w:line="400" w:lineRule="exact"/>
              <w:ind w:firstLineChars="0" w:firstLine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万吨</w:t>
            </w: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right w:w="227" w:type="dxa"/>
            </w:tcMar>
            <w:vAlign w:val="center"/>
          </w:tcPr>
          <w:p w:rsidR="00EA6885" w:rsidRDefault="007E707F">
            <w:pPr>
              <w:spacing w:line="400" w:lineRule="exact"/>
              <w:ind w:firstLine="53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0.06 </w:t>
            </w: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27" w:type="dxa"/>
            </w:tcMar>
            <w:vAlign w:val="center"/>
          </w:tcPr>
          <w:p w:rsidR="00EA6885" w:rsidRDefault="007E707F">
            <w:pPr>
              <w:spacing w:line="400" w:lineRule="exact"/>
              <w:ind w:firstLine="53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-63.6 </w:t>
            </w:r>
          </w:p>
        </w:tc>
      </w:tr>
      <w:tr w:rsidR="00EA6885">
        <w:trPr>
          <w:trHeight w:val="454"/>
        </w:trPr>
        <w:tc>
          <w:tcPr>
            <w:tcW w:w="28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8ECC8" w:themeFill="background1"/>
            <w:vAlign w:val="center"/>
          </w:tcPr>
          <w:p w:rsidR="00EA6885" w:rsidRDefault="007E707F">
            <w:pPr>
              <w:widowControl w:val="0"/>
              <w:spacing w:line="400" w:lineRule="exact"/>
              <w:ind w:firstLine="536"/>
              <w:jc w:val="lef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铁</w:t>
            </w:r>
            <w:r>
              <w:rPr>
                <w:rFonts w:eastAsia="仿宋_GB2312"/>
                <w:sz w:val="28"/>
                <w:szCs w:val="32"/>
              </w:rPr>
              <w:t xml:space="preserve"> </w:t>
            </w:r>
            <w:r>
              <w:rPr>
                <w:rFonts w:eastAsia="仿宋_GB2312"/>
                <w:sz w:val="28"/>
                <w:szCs w:val="32"/>
              </w:rPr>
              <w:t>路（发送）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8ECC8" w:themeFill="background1"/>
            <w:vAlign w:val="center"/>
          </w:tcPr>
          <w:p w:rsidR="00EA6885" w:rsidRDefault="007E707F">
            <w:pPr>
              <w:widowControl w:val="0"/>
              <w:spacing w:line="400" w:lineRule="exact"/>
              <w:ind w:firstLineChars="0" w:firstLine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万吨</w:t>
            </w: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right w:w="227" w:type="dxa"/>
            </w:tcMar>
            <w:vAlign w:val="center"/>
          </w:tcPr>
          <w:p w:rsidR="00EA6885" w:rsidRDefault="007E707F">
            <w:pPr>
              <w:spacing w:line="400" w:lineRule="exact"/>
              <w:ind w:firstLine="53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5.82 </w:t>
            </w: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27" w:type="dxa"/>
            </w:tcMar>
            <w:vAlign w:val="center"/>
          </w:tcPr>
          <w:p w:rsidR="00EA6885" w:rsidRDefault="007E707F">
            <w:pPr>
              <w:spacing w:line="400" w:lineRule="exact"/>
              <w:ind w:firstLine="53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-21.8 </w:t>
            </w:r>
          </w:p>
        </w:tc>
      </w:tr>
    </w:tbl>
    <w:p w:rsidR="00EA6885" w:rsidRDefault="007E707F">
      <w:pPr>
        <w:widowControl w:val="0"/>
        <w:spacing w:line="560" w:lineRule="exact"/>
        <w:ind w:firstLine="61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年末全州民用机动车拥有量</w:t>
      </w:r>
      <w:r>
        <w:rPr>
          <w:rFonts w:eastAsia="仿宋_GB2312"/>
          <w:kern w:val="0"/>
          <w:sz w:val="32"/>
          <w:szCs w:val="32"/>
        </w:rPr>
        <w:t>81.21</w:t>
      </w:r>
      <w:r>
        <w:rPr>
          <w:rFonts w:eastAsia="仿宋_GB2312"/>
          <w:kern w:val="0"/>
          <w:sz w:val="32"/>
          <w:szCs w:val="32"/>
        </w:rPr>
        <w:t>万辆，</w:t>
      </w:r>
      <w:r>
        <w:rPr>
          <w:rFonts w:eastAsia="仿宋_GB2312" w:hint="eastAsia"/>
          <w:kern w:val="0"/>
          <w:sz w:val="32"/>
          <w:szCs w:val="32"/>
        </w:rPr>
        <w:t>其中</w:t>
      </w:r>
      <w:r>
        <w:rPr>
          <w:rFonts w:eastAsia="仿宋_GB2312"/>
          <w:kern w:val="0"/>
          <w:sz w:val="32"/>
          <w:szCs w:val="32"/>
        </w:rPr>
        <w:t>民用汽车拥有量</w:t>
      </w:r>
      <w:r>
        <w:rPr>
          <w:rFonts w:eastAsia="仿宋_GB2312"/>
          <w:kern w:val="0"/>
          <w:sz w:val="32"/>
          <w:szCs w:val="32"/>
        </w:rPr>
        <w:t>50.73</w:t>
      </w:r>
      <w:r>
        <w:rPr>
          <w:rFonts w:eastAsia="仿宋_GB2312"/>
          <w:kern w:val="0"/>
          <w:sz w:val="32"/>
          <w:szCs w:val="32"/>
        </w:rPr>
        <w:t>万辆。</w:t>
      </w:r>
      <w:r>
        <w:rPr>
          <w:rFonts w:eastAsia="仿宋_GB2312"/>
          <w:kern w:val="0"/>
          <w:sz w:val="32"/>
          <w:szCs w:val="32"/>
        </w:rPr>
        <w:t xml:space="preserve">      </w:t>
      </w:r>
    </w:p>
    <w:p w:rsidR="00EA6885" w:rsidRDefault="007E707F">
      <w:pPr>
        <w:widowControl w:val="0"/>
        <w:spacing w:line="560" w:lineRule="exact"/>
        <w:ind w:firstLine="61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年末全州公路通车里程达到</w:t>
      </w:r>
      <w:r>
        <w:rPr>
          <w:rFonts w:eastAsia="仿宋_GB2312"/>
          <w:kern w:val="0"/>
          <w:sz w:val="32"/>
          <w:szCs w:val="32"/>
        </w:rPr>
        <w:t>29119</w:t>
      </w:r>
      <w:r>
        <w:rPr>
          <w:rFonts w:eastAsia="仿宋_GB2312"/>
          <w:kern w:val="0"/>
          <w:sz w:val="32"/>
          <w:szCs w:val="32"/>
        </w:rPr>
        <w:t>公里，其中高速公路通车</w:t>
      </w:r>
      <w:r>
        <w:rPr>
          <w:rFonts w:eastAsia="仿宋_GB2312"/>
          <w:kern w:val="0"/>
          <w:sz w:val="32"/>
          <w:szCs w:val="32"/>
        </w:rPr>
        <w:lastRenderedPageBreak/>
        <w:t>里程</w:t>
      </w:r>
      <w:r>
        <w:rPr>
          <w:rFonts w:eastAsia="仿宋_GB2312"/>
          <w:kern w:val="0"/>
          <w:sz w:val="32"/>
          <w:szCs w:val="32"/>
        </w:rPr>
        <w:t>588</w:t>
      </w:r>
      <w:r>
        <w:rPr>
          <w:rFonts w:eastAsia="仿宋_GB2312"/>
          <w:kern w:val="0"/>
          <w:sz w:val="32"/>
          <w:szCs w:val="32"/>
        </w:rPr>
        <w:t>公里。内河航道通航里程</w:t>
      </w:r>
      <w:r>
        <w:rPr>
          <w:rFonts w:eastAsia="仿宋_GB2312"/>
          <w:kern w:val="0"/>
          <w:sz w:val="32"/>
          <w:szCs w:val="32"/>
        </w:rPr>
        <w:t>455.31</w:t>
      </w:r>
      <w:r>
        <w:rPr>
          <w:rFonts w:eastAsia="仿宋_GB2312"/>
          <w:kern w:val="0"/>
          <w:sz w:val="32"/>
          <w:szCs w:val="32"/>
        </w:rPr>
        <w:t>公里，其中等级航道</w:t>
      </w:r>
      <w:r>
        <w:rPr>
          <w:rFonts w:eastAsia="仿宋_GB2312"/>
          <w:kern w:val="0"/>
          <w:sz w:val="32"/>
          <w:szCs w:val="32"/>
        </w:rPr>
        <w:t>191.41</w:t>
      </w:r>
      <w:r>
        <w:rPr>
          <w:rFonts w:eastAsia="仿宋_GB2312"/>
          <w:kern w:val="0"/>
          <w:sz w:val="32"/>
          <w:szCs w:val="32"/>
        </w:rPr>
        <w:t>公里。铁路通车里程达到</w:t>
      </w:r>
      <w:r>
        <w:rPr>
          <w:rFonts w:eastAsia="仿宋_GB2312"/>
          <w:kern w:val="0"/>
          <w:sz w:val="32"/>
          <w:szCs w:val="32"/>
        </w:rPr>
        <w:t>307</w:t>
      </w:r>
      <w:r>
        <w:rPr>
          <w:rFonts w:eastAsia="仿宋_GB2312"/>
          <w:kern w:val="0"/>
          <w:sz w:val="32"/>
          <w:szCs w:val="32"/>
        </w:rPr>
        <w:t>公里。恩施机场全年航班起降</w:t>
      </w:r>
      <w:r>
        <w:rPr>
          <w:rFonts w:eastAsia="仿宋_GB2312"/>
          <w:kern w:val="0"/>
          <w:sz w:val="32"/>
          <w:szCs w:val="32"/>
        </w:rPr>
        <w:t>0.87</w:t>
      </w:r>
      <w:r>
        <w:rPr>
          <w:rFonts w:eastAsia="仿宋_GB2312"/>
          <w:kern w:val="0"/>
          <w:sz w:val="32"/>
          <w:szCs w:val="32"/>
        </w:rPr>
        <w:t>万架次。</w:t>
      </w:r>
      <w:r>
        <w:rPr>
          <w:rFonts w:eastAsia="仿宋_GB2312"/>
          <w:kern w:val="0"/>
          <w:sz w:val="32"/>
          <w:szCs w:val="32"/>
        </w:rPr>
        <w:t xml:space="preserve"> </w:t>
      </w:r>
    </w:p>
    <w:p w:rsidR="00EA6885" w:rsidRDefault="007E707F">
      <w:pPr>
        <w:widowControl w:val="0"/>
        <w:spacing w:line="560" w:lineRule="exact"/>
        <w:ind w:firstLine="616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/>
          <w:color w:val="000000" w:themeColor="text1"/>
          <w:kern w:val="0"/>
          <w:sz w:val="32"/>
          <w:szCs w:val="32"/>
        </w:rPr>
        <w:t>全年完成邮政业务总量</w:t>
      </w:r>
      <w:r>
        <w:rPr>
          <w:rFonts w:eastAsia="仿宋_GB2312"/>
          <w:color w:val="000000" w:themeColor="text1"/>
          <w:kern w:val="0"/>
          <w:sz w:val="32"/>
          <w:szCs w:val="32"/>
        </w:rPr>
        <w:t>8.17</w:t>
      </w:r>
      <w:r>
        <w:rPr>
          <w:rFonts w:eastAsia="仿宋_GB2312"/>
          <w:color w:val="000000" w:themeColor="text1"/>
          <w:kern w:val="0"/>
          <w:sz w:val="32"/>
          <w:szCs w:val="32"/>
        </w:rPr>
        <w:t>亿元，完成邮政函件业务</w:t>
      </w:r>
      <w:r>
        <w:rPr>
          <w:rFonts w:eastAsia="仿宋_GB2312"/>
          <w:color w:val="000000" w:themeColor="text1"/>
          <w:kern w:val="0"/>
          <w:sz w:val="32"/>
          <w:szCs w:val="32"/>
        </w:rPr>
        <w:t>11.40</w:t>
      </w:r>
      <w:r>
        <w:rPr>
          <w:rFonts w:eastAsia="仿宋_GB2312"/>
          <w:color w:val="000000" w:themeColor="text1"/>
          <w:kern w:val="0"/>
          <w:sz w:val="32"/>
          <w:szCs w:val="32"/>
        </w:rPr>
        <w:t>万件，包裹业务</w:t>
      </w:r>
      <w:r>
        <w:rPr>
          <w:rFonts w:eastAsia="仿宋_GB2312"/>
          <w:color w:val="000000" w:themeColor="text1"/>
          <w:kern w:val="0"/>
          <w:sz w:val="32"/>
          <w:szCs w:val="32"/>
        </w:rPr>
        <w:t>0.13</w:t>
      </w:r>
      <w:r>
        <w:rPr>
          <w:rFonts w:eastAsia="仿宋_GB2312"/>
          <w:color w:val="000000" w:themeColor="text1"/>
          <w:kern w:val="0"/>
          <w:sz w:val="32"/>
          <w:szCs w:val="32"/>
        </w:rPr>
        <w:t>万件，快递业务</w:t>
      </w:r>
      <w:r>
        <w:rPr>
          <w:rFonts w:eastAsia="仿宋_GB2312"/>
          <w:color w:val="000000" w:themeColor="text1"/>
          <w:kern w:val="0"/>
          <w:sz w:val="32"/>
          <w:szCs w:val="32"/>
        </w:rPr>
        <w:t>1440</w:t>
      </w:r>
      <w:r>
        <w:rPr>
          <w:rFonts w:eastAsia="仿宋_GB2312"/>
          <w:color w:val="000000" w:themeColor="text1"/>
          <w:kern w:val="0"/>
          <w:sz w:val="32"/>
          <w:szCs w:val="32"/>
        </w:rPr>
        <w:t>万件，快递业务收入</w:t>
      </w:r>
      <w:r>
        <w:rPr>
          <w:rFonts w:eastAsia="仿宋_GB2312"/>
          <w:color w:val="000000" w:themeColor="text1"/>
          <w:kern w:val="0"/>
          <w:sz w:val="32"/>
          <w:szCs w:val="32"/>
        </w:rPr>
        <w:t>3.06</w:t>
      </w:r>
      <w:r>
        <w:rPr>
          <w:rFonts w:eastAsia="仿宋_GB2312"/>
          <w:color w:val="000000" w:themeColor="text1"/>
          <w:kern w:val="0"/>
          <w:sz w:val="32"/>
          <w:szCs w:val="32"/>
        </w:rPr>
        <w:t>亿元。全年完成电信业务总量</w:t>
      </w:r>
      <w:r>
        <w:rPr>
          <w:rFonts w:eastAsia="仿宋_GB2312"/>
          <w:color w:val="000000" w:themeColor="text1"/>
          <w:kern w:val="0"/>
          <w:sz w:val="32"/>
          <w:szCs w:val="32"/>
        </w:rPr>
        <w:t>25.94</w:t>
      </w:r>
      <w:r>
        <w:rPr>
          <w:rFonts w:eastAsia="仿宋_GB2312"/>
          <w:color w:val="000000" w:themeColor="text1"/>
          <w:kern w:val="0"/>
          <w:sz w:val="32"/>
          <w:szCs w:val="32"/>
        </w:rPr>
        <w:t>亿元。年末全州固定电话用户</w:t>
      </w:r>
      <w:r>
        <w:rPr>
          <w:rFonts w:eastAsia="仿宋_GB2312"/>
          <w:color w:val="000000" w:themeColor="text1"/>
          <w:kern w:val="0"/>
          <w:sz w:val="32"/>
          <w:szCs w:val="32"/>
        </w:rPr>
        <w:t>15.36</w:t>
      </w:r>
      <w:r>
        <w:rPr>
          <w:rFonts w:eastAsia="仿宋_GB2312"/>
          <w:color w:val="000000" w:themeColor="text1"/>
          <w:kern w:val="0"/>
          <w:sz w:val="32"/>
          <w:szCs w:val="32"/>
        </w:rPr>
        <w:t>万户，移动电话用户</w:t>
      </w:r>
      <w:r>
        <w:rPr>
          <w:rFonts w:eastAsia="仿宋_GB2312"/>
          <w:color w:val="000000" w:themeColor="text1"/>
          <w:kern w:val="0"/>
          <w:sz w:val="32"/>
          <w:szCs w:val="32"/>
        </w:rPr>
        <w:t>433.08</w:t>
      </w:r>
      <w:r>
        <w:rPr>
          <w:rFonts w:eastAsia="仿宋_GB2312"/>
          <w:color w:val="000000" w:themeColor="text1"/>
          <w:kern w:val="0"/>
          <w:sz w:val="32"/>
          <w:szCs w:val="32"/>
        </w:rPr>
        <w:t>万户，固定宽带接入用户</w:t>
      </w:r>
      <w:r>
        <w:rPr>
          <w:rFonts w:eastAsia="仿宋_GB2312"/>
          <w:color w:val="000000" w:themeColor="text1"/>
          <w:kern w:val="0"/>
          <w:sz w:val="32"/>
          <w:szCs w:val="32"/>
        </w:rPr>
        <w:t>124.09</w:t>
      </w:r>
      <w:r>
        <w:rPr>
          <w:rFonts w:eastAsia="仿宋_GB2312"/>
          <w:color w:val="000000" w:themeColor="text1"/>
          <w:kern w:val="0"/>
          <w:sz w:val="32"/>
          <w:szCs w:val="32"/>
        </w:rPr>
        <w:t>万户，光缆线路长度</w:t>
      </w:r>
      <w:r>
        <w:rPr>
          <w:rFonts w:eastAsia="仿宋_GB2312"/>
          <w:color w:val="000000" w:themeColor="text1"/>
          <w:kern w:val="0"/>
          <w:sz w:val="32"/>
          <w:szCs w:val="32"/>
        </w:rPr>
        <w:t>17.24</w:t>
      </w:r>
      <w:r>
        <w:rPr>
          <w:rFonts w:eastAsia="仿宋_GB2312"/>
          <w:color w:val="000000" w:themeColor="text1"/>
          <w:kern w:val="0"/>
          <w:sz w:val="32"/>
          <w:szCs w:val="32"/>
        </w:rPr>
        <w:t>万公里。</w:t>
      </w:r>
    </w:p>
    <w:p w:rsidR="00EA6885" w:rsidRDefault="007E707F">
      <w:pPr>
        <w:widowControl w:val="0"/>
        <w:spacing w:line="560" w:lineRule="exact"/>
        <w:ind w:firstLine="616"/>
        <w:outlineLvl w:val="0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五、固定资产投资和房地产</w:t>
      </w:r>
    </w:p>
    <w:p w:rsidR="00EA6885" w:rsidRDefault="007E707F">
      <w:pPr>
        <w:widowControl w:val="0"/>
        <w:spacing w:line="560" w:lineRule="exact"/>
        <w:ind w:firstLine="616"/>
        <w:rPr>
          <w:rFonts w:eastAsia="仿宋_GB2312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245110</wp:posOffset>
            </wp:positionH>
            <wp:positionV relativeFrom="margin">
              <wp:posOffset>4387850</wp:posOffset>
            </wp:positionV>
            <wp:extent cx="4722495" cy="2149475"/>
            <wp:effectExtent l="0" t="0" r="0" b="0"/>
            <wp:wrapTopAndBottom/>
            <wp:docPr id="359" name="对象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>
        <w:rPr>
          <w:rFonts w:eastAsia="仿宋_GB2312"/>
          <w:sz w:val="32"/>
          <w:szCs w:val="32"/>
        </w:rPr>
        <w:t>全年固定资产投资比上年下降</w:t>
      </w:r>
      <w:r>
        <w:rPr>
          <w:rFonts w:eastAsia="仿宋_GB2312"/>
          <w:sz w:val="32"/>
          <w:szCs w:val="32"/>
        </w:rPr>
        <w:t>22.1%</w:t>
      </w:r>
      <w:r>
        <w:rPr>
          <w:rFonts w:eastAsia="仿宋_GB2312"/>
          <w:sz w:val="32"/>
          <w:szCs w:val="32"/>
        </w:rPr>
        <w:t>。分产业看，第一产业投资下降</w:t>
      </w:r>
      <w:r>
        <w:rPr>
          <w:rFonts w:eastAsia="仿宋_GB2312"/>
          <w:sz w:val="32"/>
          <w:szCs w:val="32"/>
        </w:rPr>
        <w:t>61.7%</w:t>
      </w:r>
      <w:r>
        <w:rPr>
          <w:rFonts w:eastAsia="仿宋_GB2312"/>
          <w:sz w:val="32"/>
          <w:szCs w:val="32"/>
        </w:rPr>
        <w:t>；第二产业投资下降</w:t>
      </w:r>
      <w:r>
        <w:rPr>
          <w:rFonts w:eastAsia="仿宋_GB2312"/>
          <w:sz w:val="32"/>
          <w:szCs w:val="32"/>
        </w:rPr>
        <w:t>6.0%</w:t>
      </w:r>
      <w:r>
        <w:rPr>
          <w:rFonts w:eastAsia="仿宋_GB2312"/>
          <w:sz w:val="32"/>
          <w:szCs w:val="32"/>
        </w:rPr>
        <w:t>；第三产业投资下降</w:t>
      </w:r>
      <w:r>
        <w:rPr>
          <w:rFonts w:eastAsia="仿宋_GB2312"/>
          <w:sz w:val="32"/>
          <w:szCs w:val="32"/>
        </w:rPr>
        <w:t>23.2%</w:t>
      </w:r>
      <w:r>
        <w:rPr>
          <w:rFonts w:eastAsia="仿宋_GB2312"/>
          <w:sz w:val="32"/>
          <w:szCs w:val="32"/>
        </w:rPr>
        <w:t>。民间投资下降</w:t>
      </w:r>
      <w:r>
        <w:rPr>
          <w:rFonts w:eastAsia="仿宋_GB2312"/>
          <w:sz w:val="32"/>
          <w:szCs w:val="32"/>
        </w:rPr>
        <w:t>8.2%</w:t>
      </w:r>
      <w:r>
        <w:rPr>
          <w:rFonts w:eastAsia="仿宋_GB2312"/>
          <w:sz w:val="32"/>
          <w:szCs w:val="32"/>
        </w:rPr>
        <w:t>。</w:t>
      </w:r>
    </w:p>
    <w:p w:rsidR="00EA6885" w:rsidRDefault="007E707F">
      <w:pPr>
        <w:widowControl w:val="0"/>
        <w:spacing w:line="560" w:lineRule="exact"/>
        <w:ind w:firstLine="61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全年商品房施工面积</w:t>
      </w:r>
      <w:r>
        <w:rPr>
          <w:rFonts w:eastAsia="仿宋_GB2312"/>
          <w:sz w:val="32"/>
          <w:szCs w:val="32"/>
        </w:rPr>
        <w:t>1679.02</w:t>
      </w:r>
      <w:r>
        <w:rPr>
          <w:rFonts w:eastAsia="仿宋_GB2312"/>
          <w:sz w:val="32"/>
          <w:szCs w:val="32"/>
        </w:rPr>
        <w:t>万平方米，比上年增长</w:t>
      </w:r>
      <w:r>
        <w:rPr>
          <w:rFonts w:eastAsia="仿宋_GB2312"/>
          <w:sz w:val="32"/>
          <w:szCs w:val="32"/>
        </w:rPr>
        <w:t>15.9%</w:t>
      </w:r>
      <w:r>
        <w:rPr>
          <w:rFonts w:eastAsia="仿宋_GB2312"/>
          <w:sz w:val="32"/>
          <w:szCs w:val="32"/>
        </w:rPr>
        <w:t>；竣工面积</w:t>
      </w:r>
      <w:r>
        <w:rPr>
          <w:rFonts w:eastAsia="仿宋_GB2312"/>
          <w:sz w:val="32"/>
          <w:szCs w:val="32"/>
        </w:rPr>
        <w:t>79.45</w:t>
      </w:r>
      <w:r>
        <w:rPr>
          <w:rFonts w:eastAsia="仿宋_GB2312"/>
          <w:sz w:val="32"/>
          <w:szCs w:val="32"/>
        </w:rPr>
        <w:t>万平方米，增长</w:t>
      </w:r>
      <w:r>
        <w:rPr>
          <w:rFonts w:eastAsia="仿宋_GB2312"/>
          <w:sz w:val="32"/>
          <w:szCs w:val="32"/>
        </w:rPr>
        <w:t>8.3%</w:t>
      </w:r>
      <w:r>
        <w:rPr>
          <w:rFonts w:eastAsia="仿宋_GB2312"/>
          <w:sz w:val="32"/>
          <w:szCs w:val="32"/>
        </w:rPr>
        <w:t>；销售面积</w:t>
      </w:r>
      <w:r>
        <w:rPr>
          <w:rFonts w:eastAsia="仿宋_GB2312"/>
          <w:sz w:val="32"/>
          <w:szCs w:val="32"/>
        </w:rPr>
        <w:t>278.89</w:t>
      </w:r>
      <w:r>
        <w:rPr>
          <w:rFonts w:eastAsia="仿宋_GB2312"/>
          <w:sz w:val="32"/>
          <w:szCs w:val="32"/>
        </w:rPr>
        <w:t>万平方米，下降</w:t>
      </w:r>
      <w:r>
        <w:rPr>
          <w:rFonts w:eastAsia="仿宋_GB2312"/>
          <w:sz w:val="32"/>
          <w:szCs w:val="32"/>
        </w:rPr>
        <w:t>18.4%</w:t>
      </w:r>
      <w:r>
        <w:rPr>
          <w:rFonts w:eastAsia="仿宋_GB2312"/>
          <w:sz w:val="32"/>
          <w:szCs w:val="32"/>
        </w:rPr>
        <w:t>；待售面积</w:t>
      </w:r>
      <w:r>
        <w:rPr>
          <w:rFonts w:eastAsia="仿宋_GB2312"/>
          <w:sz w:val="32"/>
          <w:szCs w:val="32"/>
        </w:rPr>
        <w:t>57.73</w:t>
      </w:r>
      <w:r>
        <w:rPr>
          <w:rFonts w:eastAsia="仿宋_GB2312"/>
          <w:sz w:val="32"/>
          <w:szCs w:val="32"/>
        </w:rPr>
        <w:t>万平方米，增长</w:t>
      </w:r>
      <w:r>
        <w:rPr>
          <w:rFonts w:eastAsia="仿宋_GB2312"/>
          <w:sz w:val="32"/>
          <w:szCs w:val="32"/>
        </w:rPr>
        <w:t>67.1%</w:t>
      </w:r>
      <w:r>
        <w:rPr>
          <w:rFonts w:eastAsia="仿宋_GB2312"/>
          <w:sz w:val="32"/>
          <w:szCs w:val="32"/>
        </w:rPr>
        <w:t>。商品房销售额</w:t>
      </w:r>
      <w:r>
        <w:rPr>
          <w:rFonts w:eastAsia="仿宋_GB2312"/>
          <w:sz w:val="32"/>
          <w:szCs w:val="32"/>
        </w:rPr>
        <w:t>154.12</w:t>
      </w:r>
      <w:r>
        <w:rPr>
          <w:rFonts w:eastAsia="仿宋_GB2312"/>
          <w:sz w:val="32"/>
          <w:szCs w:val="32"/>
        </w:rPr>
        <w:t>亿元，下降</w:t>
      </w:r>
      <w:r>
        <w:rPr>
          <w:rFonts w:eastAsia="仿宋_GB2312"/>
          <w:sz w:val="32"/>
          <w:szCs w:val="32"/>
        </w:rPr>
        <w:t>15.0%</w:t>
      </w:r>
      <w:r>
        <w:rPr>
          <w:rFonts w:eastAsia="仿宋_GB2312"/>
          <w:sz w:val="32"/>
          <w:szCs w:val="32"/>
        </w:rPr>
        <w:t>，其中：住宅销售额</w:t>
      </w:r>
      <w:r>
        <w:rPr>
          <w:rFonts w:eastAsia="仿宋_GB2312"/>
          <w:sz w:val="32"/>
          <w:szCs w:val="32"/>
        </w:rPr>
        <w:t>147.03</w:t>
      </w:r>
      <w:r>
        <w:rPr>
          <w:rFonts w:eastAsia="仿宋_GB2312"/>
          <w:sz w:val="32"/>
          <w:szCs w:val="32"/>
        </w:rPr>
        <w:t>亿元，下降</w:t>
      </w:r>
      <w:r>
        <w:rPr>
          <w:rFonts w:eastAsia="仿宋_GB2312"/>
          <w:sz w:val="32"/>
          <w:szCs w:val="32"/>
        </w:rPr>
        <w:t>11.3%</w:t>
      </w:r>
      <w:r>
        <w:rPr>
          <w:rFonts w:eastAsia="仿宋_GB2312"/>
          <w:sz w:val="32"/>
          <w:szCs w:val="32"/>
        </w:rPr>
        <w:t>。</w:t>
      </w:r>
    </w:p>
    <w:p w:rsidR="00EA6885" w:rsidRDefault="007E707F">
      <w:pPr>
        <w:widowControl w:val="0"/>
        <w:spacing w:line="560" w:lineRule="exact"/>
        <w:ind w:firstLine="536"/>
        <w:outlineLvl w:val="0"/>
        <w:rPr>
          <w:rFonts w:eastAsia="黑体"/>
          <w:bCs/>
          <w:sz w:val="32"/>
          <w:szCs w:val="32"/>
        </w:rPr>
      </w:pPr>
      <w:r>
        <w:rPr>
          <w:rFonts w:eastAsia="仿宋_GB2312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417830</wp:posOffset>
            </wp:positionH>
            <wp:positionV relativeFrom="margin">
              <wp:posOffset>-15240</wp:posOffset>
            </wp:positionV>
            <wp:extent cx="4491990" cy="2102485"/>
            <wp:effectExtent l="0" t="0" r="0" b="0"/>
            <wp:wrapTopAndBottom/>
            <wp:docPr id="7" name="对象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>
        <w:rPr>
          <w:rFonts w:eastAsia="黑体"/>
          <w:bCs/>
          <w:sz w:val="32"/>
          <w:szCs w:val="32"/>
        </w:rPr>
        <w:t>六、国内贸易</w:t>
      </w:r>
    </w:p>
    <w:p w:rsidR="00EA6885" w:rsidRDefault="007E707F">
      <w:pPr>
        <w:widowControl w:val="0"/>
        <w:spacing w:line="560" w:lineRule="exact"/>
        <w:ind w:firstLine="53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414655</wp:posOffset>
            </wp:positionH>
            <wp:positionV relativeFrom="margin">
              <wp:posOffset>4302125</wp:posOffset>
            </wp:positionV>
            <wp:extent cx="4531995" cy="2323465"/>
            <wp:effectExtent l="0" t="0" r="0" b="0"/>
            <wp:wrapTopAndBottom/>
            <wp:docPr id="360" name="对象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>
        <w:rPr>
          <w:rFonts w:eastAsia="仿宋_GB2312"/>
          <w:kern w:val="0"/>
          <w:sz w:val="32"/>
          <w:szCs w:val="32"/>
        </w:rPr>
        <w:t>全州实现社会消费品零售总额</w:t>
      </w:r>
      <w:r>
        <w:rPr>
          <w:rFonts w:eastAsia="仿宋_GB2312"/>
          <w:kern w:val="0"/>
          <w:sz w:val="32"/>
          <w:szCs w:val="32"/>
        </w:rPr>
        <w:t>562.59</w:t>
      </w:r>
      <w:r>
        <w:rPr>
          <w:rFonts w:eastAsia="仿宋_GB2312"/>
          <w:kern w:val="0"/>
          <w:sz w:val="32"/>
          <w:szCs w:val="32"/>
        </w:rPr>
        <w:t>亿元，比上年下降</w:t>
      </w:r>
      <w:r>
        <w:rPr>
          <w:rFonts w:eastAsia="仿宋_GB2312"/>
          <w:kern w:val="0"/>
          <w:sz w:val="32"/>
          <w:szCs w:val="32"/>
        </w:rPr>
        <w:t>26.3%</w:t>
      </w:r>
      <w:r>
        <w:rPr>
          <w:rFonts w:eastAsia="仿宋_GB2312"/>
          <w:kern w:val="0"/>
          <w:sz w:val="32"/>
          <w:szCs w:val="32"/>
        </w:rPr>
        <w:t>。其中，批发零售业销售额</w:t>
      </w:r>
      <w:r>
        <w:rPr>
          <w:rFonts w:eastAsia="仿宋_GB2312"/>
          <w:kern w:val="0"/>
          <w:sz w:val="32"/>
          <w:szCs w:val="32"/>
        </w:rPr>
        <w:t xml:space="preserve">500.35 </w:t>
      </w:r>
      <w:r>
        <w:rPr>
          <w:rFonts w:eastAsia="仿宋_GB2312"/>
          <w:kern w:val="0"/>
          <w:sz w:val="32"/>
          <w:szCs w:val="32"/>
        </w:rPr>
        <w:t>亿元，下降</w:t>
      </w:r>
      <w:r>
        <w:rPr>
          <w:rFonts w:eastAsia="仿宋_GB2312"/>
          <w:kern w:val="0"/>
          <w:sz w:val="32"/>
          <w:szCs w:val="32"/>
        </w:rPr>
        <w:t>26.1%</w:t>
      </w:r>
      <w:r>
        <w:rPr>
          <w:rFonts w:eastAsia="仿宋_GB2312"/>
          <w:kern w:val="0"/>
          <w:sz w:val="32"/>
          <w:szCs w:val="32"/>
        </w:rPr>
        <w:t>；住宿餐饮业营业额</w:t>
      </w:r>
      <w:r>
        <w:rPr>
          <w:rFonts w:eastAsia="仿宋_GB2312"/>
          <w:kern w:val="0"/>
          <w:sz w:val="32"/>
          <w:szCs w:val="32"/>
        </w:rPr>
        <w:t>62.24</w:t>
      </w:r>
      <w:r>
        <w:rPr>
          <w:rFonts w:eastAsia="仿宋_GB2312"/>
          <w:kern w:val="0"/>
          <w:sz w:val="32"/>
          <w:szCs w:val="32"/>
        </w:rPr>
        <w:t>亿元，下降</w:t>
      </w:r>
      <w:r>
        <w:rPr>
          <w:rFonts w:eastAsia="仿宋_GB2312"/>
          <w:kern w:val="0"/>
          <w:sz w:val="32"/>
          <w:szCs w:val="32"/>
        </w:rPr>
        <w:t>28.1%</w:t>
      </w:r>
      <w:r>
        <w:rPr>
          <w:rFonts w:eastAsia="仿宋_GB2312"/>
          <w:kern w:val="0"/>
          <w:sz w:val="32"/>
          <w:szCs w:val="32"/>
        </w:rPr>
        <w:t>。限额以上</w:t>
      </w:r>
      <w:r>
        <w:rPr>
          <w:rFonts w:eastAsia="仿宋_GB2312" w:hint="eastAsia"/>
          <w:kern w:val="0"/>
          <w:sz w:val="32"/>
          <w:szCs w:val="32"/>
        </w:rPr>
        <w:t>商贸</w:t>
      </w:r>
      <w:r>
        <w:rPr>
          <w:rFonts w:eastAsia="仿宋_GB2312"/>
          <w:kern w:val="0"/>
          <w:sz w:val="32"/>
          <w:szCs w:val="32"/>
        </w:rPr>
        <w:t>企业通过公共网络实现的商品销售额增长</w:t>
      </w:r>
      <w:r>
        <w:rPr>
          <w:rFonts w:eastAsia="仿宋_GB2312"/>
          <w:kern w:val="0"/>
          <w:sz w:val="32"/>
          <w:szCs w:val="32"/>
        </w:rPr>
        <w:t>86.6%</w:t>
      </w:r>
      <w:r>
        <w:rPr>
          <w:rFonts w:eastAsia="仿宋_GB2312"/>
          <w:kern w:val="0"/>
          <w:sz w:val="32"/>
          <w:szCs w:val="32"/>
        </w:rPr>
        <w:t>。全年农副产品销售总额达</w:t>
      </w:r>
      <w:r>
        <w:rPr>
          <w:rFonts w:eastAsia="仿宋_GB2312"/>
          <w:kern w:val="0"/>
          <w:sz w:val="32"/>
          <w:szCs w:val="32"/>
        </w:rPr>
        <w:t>154.99 </w:t>
      </w:r>
      <w:r>
        <w:rPr>
          <w:rFonts w:eastAsia="仿宋_GB2312"/>
          <w:kern w:val="0"/>
          <w:sz w:val="32"/>
          <w:szCs w:val="32"/>
        </w:rPr>
        <w:t>亿元</w:t>
      </w:r>
      <w:r>
        <w:rPr>
          <w:rFonts w:eastAsia="仿宋_GB2312" w:hint="eastAsia"/>
          <w:kern w:val="0"/>
          <w:sz w:val="32"/>
          <w:szCs w:val="32"/>
        </w:rPr>
        <w:t>，其中“扶贫</w:t>
      </w:r>
      <w:r>
        <w:rPr>
          <w:rFonts w:eastAsia="仿宋_GB2312" w:hint="eastAsia"/>
          <w:kern w:val="0"/>
          <w:sz w:val="32"/>
          <w:szCs w:val="32"/>
        </w:rPr>
        <w:t>832</w:t>
      </w:r>
      <w:r>
        <w:rPr>
          <w:rFonts w:eastAsia="仿宋_GB2312" w:hint="eastAsia"/>
          <w:kern w:val="0"/>
          <w:sz w:val="32"/>
          <w:szCs w:val="32"/>
        </w:rPr>
        <w:t>”平台实现销售额</w:t>
      </w:r>
      <w:r>
        <w:rPr>
          <w:rFonts w:eastAsia="仿宋_GB2312" w:hint="eastAsia"/>
          <w:kern w:val="0"/>
          <w:sz w:val="32"/>
          <w:szCs w:val="32"/>
        </w:rPr>
        <w:t>11.75</w:t>
      </w:r>
      <w:r>
        <w:rPr>
          <w:rFonts w:eastAsia="仿宋_GB2312" w:hint="eastAsia"/>
          <w:kern w:val="0"/>
          <w:sz w:val="32"/>
          <w:szCs w:val="32"/>
        </w:rPr>
        <w:t>亿元。</w:t>
      </w:r>
    </w:p>
    <w:p w:rsidR="00EA6885" w:rsidRDefault="007E707F">
      <w:pPr>
        <w:widowControl w:val="0"/>
        <w:spacing w:line="560" w:lineRule="exact"/>
        <w:ind w:firstLine="616"/>
        <w:outlineLvl w:val="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七、对外经济</w:t>
      </w:r>
    </w:p>
    <w:p w:rsidR="00EA6885" w:rsidRDefault="007E707F">
      <w:pPr>
        <w:widowControl w:val="0"/>
        <w:spacing w:line="560" w:lineRule="exact"/>
        <w:ind w:firstLine="61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全年实际外商直接投资</w:t>
      </w:r>
      <w:r>
        <w:rPr>
          <w:rFonts w:eastAsia="仿宋_GB2312"/>
          <w:kern w:val="0"/>
          <w:sz w:val="32"/>
          <w:szCs w:val="32"/>
        </w:rPr>
        <w:t>3503</w:t>
      </w:r>
      <w:r>
        <w:rPr>
          <w:rFonts w:eastAsia="仿宋_GB2312"/>
          <w:kern w:val="0"/>
          <w:sz w:val="32"/>
          <w:szCs w:val="32"/>
        </w:rPr>
        <w:t>万美元，比上年增长</w:t>
      </w:r>
      <w:r>
        <w:rPr>
          <w:rFonts w:eastAsia="仿宋_GB2312"/>
          <w:kern w:val="0"/>
          <w:sz w:val="32"/>
          <w:szCs w:val="32"/>
        </w:rPr>
        <w:t>73.8%</w:t>
      </w:r>
      <w:r>
        <w:rPr>
          <w:rFonts w:eastAsia="仿宋_GB2312"/>
          <w:kern w:val="0"/>
          <w:sz w:val="32"/>
          <w:szCs w:val="32"/>
        </w:rPr>
        <w:t>。对外贸易进出口额</w:t>
      </w:r>
      <w:r>
        <w:rPr>
          <w:rFonts w:eastAsia="仿宋_GB2312"/>
          <w:kern w:val="0"/>
          <w:sz w:val="32"/>
          <w:szCs w:val="32"/>
        </w:rPr>
        <w:t>9436</w:t>
      </w:r>
      <w:r>
        <w:rPr>
          <w:rFonts w:eastAsia="仿宋_GB2312"/>
          <w:kern w:val="0"/>
          <w:sz w:val="32"/>
          <w:szCs w:val="32"/>
        </w:rPr>
        <w:t>万美元，增长</w:t>
      </w:r>
      <w:r>
        <w:rPr>
          <w:rFonts w:eastAsia="仿宋_GB2312"/>
          <w:kern w:val="0"/>
          <w:sz w:val="32"/>
          <w:szCs w:val="32"/>
        </w:rPr>
        <w:t>5.2%</w:t>
      </w:r>
      <w:r>
        <w:rPr>
          <w:rFonts w:eastAsia="仿宋_GB2312"/>
          <w:kern w:val="0"/>
          <w:sz w:val="32"/>
          <w:szCs w:val="32"/>
        </w:rPr>
        <w:t>。其中，出口</w:t>
      </w:r>
      <w:r>
        <w:rPr>
          <w:rFonts w:eastAsia="仿宋_GB2312"/>
          <w:kern w:val="0"/>
          <w:sz w:val="32"/>
          <w:szCs w:val="32"/>
        </w:rPr>
        <w:t>9376</w:t>
      </w:r>
      <w:r>
        <w:rPr>
          <w:rFonts w:eastAsia="仿宋_GB2312"/>
          <w:kern w:val="0"/>
          <w:sz w:val="32"/>
          <w:szCs w:val="32"/>
        </w:rPr>
        <w:t>万美元，增长</w:t>
      </w:r>
      <w:r>
        <w:rPr>
          <w:rFonts w:eastAsia="仿宋_GB2312"/>
          <w:kern w:val="0"/>
          <w:sz w:val="32"/>
          <w:szCs w:val="32"/>
        </w:rPr>
        <w:t>5.7%</w:t>
      </w:r>
      <w:r>
        <w:rPr>
          <w:rFonts w:eastAsia="仿宋_GB2312"/>
          <w:kern w:val="0"/>
          <w:sz w:val="32"/>
          <w:szCs w:val="32"/>
        </w:rPr>
        <w:t>。</w:t>
      </w:r>
    </w:p>
    <w:p w:rsidR="00EA6885" w:rsidRDefault="007E707F">
      <w:pPr>
        <w:widowControl w:val="0"/>
        <w:spacing w:line="560" w:lineRule="exact"/>
        <w:ind w:firstLine="616"/>
        <w:outlineLvl w:val="0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sz w:val="32"/>
          <w:szCs w:val="32"/>
        </w:rPr>
        <w:lastRenderedPageBreak/>
        <w:t>八、</w:t>
      </w:r>
      <w:r>
        <w:rPr>
          <w:rFonts w:eastAsia="黑体"/>
          <w:bCs/>
          <w:kern w:val="0"/>
          <w:sz w:val="32"/>
          <w:szCs w:val="32"/>
        </w:rPr>
        <w:t>财政和金融</w:t>
      </w:r>
    </w:p>
    <w:p w:rsidR="00EA6885" w:rsidRDefault="007E707F">
      <w:pPr>
        <w:widowControl w:val="0"/>
        <w:spacing w:line="560" w:lineRule="exact"/>
        <w:ind w:firstLine="61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noProof/>
          <w:kern w:val="0"/>
          <w:sz w:val="32"/>
          <w:szCs w:val="32"/>
        </w:rPr>
        <w:drawing>
          <wp:anchor distT="0" distB="0" distL="114935" distR="114935" simplePos="0" relativeHeight="251666432" behindDoc="0" locked="0" layoutInCell="1" allowOverlap="1">
            <wp:simplePos x="0" y="0"/>
            <wp:positionH relativeFrom="margin">
              <wp:posOffset>572135</wp:posOffset>
            </wp:positionH>
            <wp:positionV relativeFrom="page">
              <wp:posOffset>4050030</wp:posOffset>
            </wp:positionV>
            <wp:extent cx="4507865" cy="2190115"/>
            <wp:effectExtent l="0" t="0" r="0" b="0"/>
            <wp:wrapTopAndBottom/>
            <wp:docPr id="361" name="对象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>
        <w:rPr>
          <w:rFonts w:eastAsia="仿宋_GB2312"/>
          <w:kern w:val="0"/>
          <w:sz w:val="32"/>
          <w:szCs w:val="32"/>
        </w:rPr>
        <w:t>全年地方财政总收入</w:t>
      </w:r>
      <w:r>
        <w:rPr>
          <w:rFonts w:eastAsia="仿宋_GB2312"/>
          <w:kern w:val="0"/>
          <w:sz w:val="32"/>
          <w:szCs w:val="32"/>
        </w:rPr>
        <w:t>143.19</w:t>
      </w:r>
      <w:r>
        <w:rPr>
          <w:rFonts w:eastAsia="仿宋_GB2312"/>
          <w:kern w:val="0"/>
          <w:sz w:val="32"/>
          <w:szCs w:val="32"/>
        </w:rPr>
        <w:t>亿元，比上年下降</w:t>
      </w:r>
      <w:r>
        <w:rPr>
          <w:rFonts w:eastAsia="仿宋_GB2312"/>
          <w:kern w:val="0"/>
          <w:sz w:val="32"/>
          <w:szCs w:val="32"/>
        </w:rPr>
        <w:t>17.7%</w:t>
      </w:r>
      <w:r>
        <w:rPr>
          <w:rFonts w:eastAsia="仿宋_GB2312"/>
          <w:kern w:val="0"/>
          <w:sz w:val="32"/>
          <w:szCs w:val="32"/>
        </w:rPr>
        <w:t>。其中，地方一般公共预算收入</w:t>
      </w:r>
      <w:r>
        <w:rPr>
          <w:rFonts w:eastAsia="仿宋_GB2312"/>
          <w:kern w:val="0"/>
          <w:sz w:val="32"/>
          <w:szCs w:val="32"/>
        </w:rPr>
        <w:t>57.65</w:t>
      </w:r>
      <w:r>
        <w:rPr>
          <w:rFonts w:eastAsia="仿宋_GB2312"/>
          <w:kern w:val="0"/>
          <w:sz w:val="32"/>
          <w:szCs w:val="32"/>
        </w:rPr>
        <w:t>亿元，下降</w:t>
      </w:r>
      <w:r>
        <w:rPr>
          <w:rFonts w:eastAsia="仿宋_GB2312"/>
          <w:kern w:val="0"/>
          <w:sz w:val="32"/>
          <w:szCs w:val="32"/>
        </w:rPr>
        <w:t>28.5%</w:t>
      </w:r>
      <w:r>
        <w:rPr>
          <w:rFonts w:eastAsia="仿宋_GB2312"/>
          <w:kern w:val="0"/>
          <w:sz w:val="32"/>
          <w:szCs w:val="32"/>
        </w:rPr>
        <w:t>。在地方一般公共预算收入中，税收收入</w:t>
      </w:r>
      <w:r>
        <w:rPr>
          <w:rFonts w:eastAsia="仿宋_GB2312"/>
          <w:kern w:val="0"/>
          <w:sz w:val="32"/>
          <w:szCs w:val="32"/>
        </w:rPr>
        <w:t>43.91</w:t>
      </w:r>
      <w:r>
        <w:rPr>
          <w:rFonts w:eastAsia="仿宋_GB2312"/>
          <w:kern w:val="0"/>
          <w:sz w:val="32"/>
          <w:szCs w:val="32"/>
        </w:rPr>
        <w:t>亿元，下降</w:t>
      </w:r>
      <w:r>
        <w:rPr>
          <w:rFonts w:eastAsia="仿宋_GB2312"/>
          <w:kern w:val="0"/>
          <w:sz w:val="32"/>
          <w:szCs w:val="32"/>
        </w:rPr>
        <w:t>27.1%</w:t>
      </w:r>
      <w:r>
        <w:rPr>
          <w:rFonts w:eastAsia="仿宋_GB2312"/>
          <w:kern w:val="0"/>
          <w:sz w:val="32"/>
          <w:szCs w:val="32"/>
        </w:rPr>
        <w:t>。全年一般公共</w:t>
      </w:r>
      <w:r>
        <w:rPr>
          <w:rFonts w:eastAsia="仿宋_GB2312"/>
          <w:kern w:val="0"/>
          <w:sz w:val="32"/>
          <w:szCs w:val="32"/>
        </w:rPr>
        <w:t>预算支出</w:t>
      </w:r>
      <w:r>
        <w:rPr>
          <w:rFonts w:eastAsia="仿宋_GB2312"/>
          <w:kern w:val="0"/>
          <w:sz w:val="32"/>
          <w:szCs w:val="32"/>
        </w:rPr>
        <w:t>470.19</w:t>
      </w:r>
      <w:r>
        <w:rPr>
          <w:rFonts w:eastAsia="仿宋_GB2312"/>
          <w:kern w:val="0"/>
          <w:sz w:val="32"/>
          <w:szCs w:val="32"/>
        </w:rPr>
        <w:t>亿元，增长</w:t>
      </w:r>
      <w:r>
        <w:rPr>
          <w:rFonts w:eastAsia="仿宋_GB2312"/>
          <w:kern w:val="0"/>
          <w:sz w:val="32"/>
          <w:szCs w:val="32"/>
        </w:rPr>
        <w:t>5.4%</w:t>
      </w:r>
      <w:r>
        <w:rPr>
          <w:rFonts w:eastAsia="仿宋_GB2312"/>
          <w:kern w:val="0"/>
          <w:sz w:val="32"/>
          <w:szCs w:val="32"/>
        </w:rPr>
        <w:t>。其中</w:t>
      </w:r>
      <w:r>
        <w:rPr>
          <w:rFonts w:eastAsia="仿宋_GB2312" w:hint="eastAsia"/>
          <w:kern w:val="0"/>
          <w:sz w:val="32"/>
          <w:szCs w:val="32"/>
        </w:rPr>
        <w:t>，教育支出</w:t>
      </w:r>
      <w:r>
        <w:rPr>
          <w:rFonts w:eastAsia="仿宋_GB2312" w:hint="eastAsia"/>
          <w:kern w:val="0"/>
          <w:sz w:val="32"/>
          <w:szCs w:val="32"/>
        </w:rPr>
        <w:t>7</w:t>
      </w:r>
      <w:r>
        <w:rPr>
          <w:rFonts w:eastAsia="仿宋_GB2312"/>
          <w:kern w:val="0"/>
          <w:sz w:val="32"/>
          <w:szCs w:val="32"/>
        </w:rPr>
        <w:t>6.78</w:t>
      </w:r>
      <w:r>
        <w:rPr>
          <w:rFonts w:eastAsia="仿宋_GB2312"/>
          <w:kern w:val="0"/>
          <w:sz w:val="32"/>
          <w:szCs w:val="32"/>
        </w:rPr>
        <w:t>亿元</w:t>
      </w:r>
      <w:r>
        <w:rPr>
          <w:rFonts w:eastAsia="仿宋_GB2312" w:hint="eastAsia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增长</w:t>
      </w:r>
      <w:r>
        <w:rPr>
          <w:rFonts w:eastAsia="仿宋_GB2312" w:hint="eastAsia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.2</w:t>
      </w:r>
      <w:r>
        <w:rPr>
          <w:rFonts w:eastAsia="仿宋_GB2312" w:hint="eastAsia"/>
          <w:kern w:val="0"/>
          <w:sz w:val="32"/>
          <w:szCs w:val="32"/>
        </w:rPr>
        <w:t>%</w:t>
      </w:r>
      <w:r>
        <w:rPr>
          <w:rFonts w:eastAsia="仿宋_GB2312" w:hint="eastAsia"/>
          <w:kern w:val="0"/>
          <w:sz w:val="32"/>
          <w:szCs w:val="32"/>
        </w:rPr>
        <w:t>；卫生健康支出</w:t>
      </w:r>
      <w:r>
        <w:rPr>
          <w:rFonts w:eastAsia="仿宋_GB2312" w:hint="eastAsia"/>
          <w:kern w:val="0"/>
          <w:sz w:val="32"/>
          <w:szCs w:val="32"/>
        </w:rPr>
        <w:t>51.</w:t>
      </w:r>
      <w:r>
        <w:rPr>
          <w:rFonts w:eastAsia="仿宋_GB2312"/>
          <w:kern w:val="0"/>
          <w:sz w:val="32"/>
          <w:szCs w:val="32"/>
        </w:rPr>
        <w:t>68</w:t>
      </w:r>
      <w:r>
        <w:rPr>
          <w:rFonts w:eastAsia="仿宋_GB2312" w:hint="eastAsia"/>
          <w:kern w:val="0"/>
          <w:sz w:val="32"/>
          <w:szCs w:val="32"/>
        </w:rPr>
        <w:t>亿元，增长</w:t>
      </w:r>
      <w:r>
        <w:rPr>
          <w:rFonts w:eastAsia="仿宋_GB2312" w:hint="eastAsia"/>
          <w:kern w:val="0"/>
          <w:sz w:val="32"/>
          <w:szCs w:val="32"/>
        </w:rPr>
        <w:t>24.7%</w:t>
      </w:r>
      <w:r>
        <w:rPr>
          <w:rFonts w:eastAsia="仿宋_GB2312" w:hint="eastAsia"/>
          <w:kern w:val="0"/>
          <w:sz w:val="32"/>
          <w:szCs w:val="32"/>
        </w:rPr>
        <w:t>；社会保障和就业支出</w:t>
      </w:r>
      <w:r>
        <w:rPr>
          <w:rFonts w:eastAsia="仿宋_GB2312" w:hint="eastAsia"/>
          <w:kern w:val="0"/>
          <w:sz w:val="32"/>
          <w:szCs w:val="32"/>
        </w:rPr>
        <w:t>7</w:t>
      </w:r>
      <w:r>
        <w:rPr>
          <w:rFonts w:eastAsia="仿宋_GB2312"/>
          <w:kern w:val="0"/>
          <w:sz w:val="32"/>
          <w:szCs w:val="32"/>
        </w:rPr>
        <w:t>0.81</w:t>
      </w:r>
      <w:r>
        <w:rPr>
          <w:rFonts w:eastAsia="仿宋_GB2312"/>
          <w:kern w:val="0"/>
          <w:sz w:val="32"/>
          <w:szCs w:val="32"/>
        </w:rPr>
        <w:t>亿元</w:t>
      </w:r>
      <w:r>
        <w:rPr>
          <w:rFonts w:eastAsia="仿宋_GB2312" w:hint="eastAsia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增长</w:t>
      </w:r>
      <w:r>
        <w:rPr>
          <w:rFonts w:eastAsia="仿宋_GB2312" w:hint="eastAsia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5.9</w:t>
      </w:r>
      <w:r>
        <w:rPr>
          <w:rFonts w:eastAsia="仿宋_GB2312" w:hint="eastAsia"/>
          <w:kern w:val="0"/>
          <w:sz w:val="32"/>
          <w:szCs w:val="32"/>
        </w:rPr>
        <w:t>%</w:t>
      </w:r>
      <w:r>
        <w:rPr>
          <w:rFonts w:eastAsia="仿宋_GB2312" w:hint="eastAsia"/>
          <w:kern w:val="0"/>
          <w:sz w:val="32"/>
          <w:szCs w:val="32"/>
        </w:rPr>
        <w:t>；灾害防治及应急管理支出</w:t>
      </w:r>
      <w:r>
        <w:rPr>
          <w:rFonts w:eastAsia="仿宋_GB2312" w:hint="eastAsia"/>
          <w:kern w:val="0"/>
          <w:sz w:val="32"/>
          <w:szCs w:val="32"/>
        </w:rPr>
        <w:t>6.</w:t>
      </w:r>
      <w:r>
        <w:rPr>
          <w:rFonts w:eastAsia="仿宋_GB2312"/>
          <w:kern w:val="0"/>
          <w:sz w:val="32"/>
          <w:szCs w:val="32"/>
        </w:rPr>
        <w:t>66</w:t>
      </w:r>
      <w:r>
        <w:rPr>
          <w:rFonts w:eastAsia="仿宋_GB2312" w:hint="eastAsia"/>
          <w:kern w:val="0"/>
          <w:sz w:val="32"/>
          <w:szCs w:val="32"/>
        </w:rPr>
        <w:t>亿元，增长</w:t>
      </w:r>
      <w:r>
        <w:rPr>
          <w:rFonts w:eastAsia="仿宋_GB2312" w:hint="eastAsia"/>
          <w:kern w:val="0"/>
          <w:sz w:val="32"/>
          <w:szCs w:val="32"/>
        </w:rPr>
        <w:t>47.3%</w:t>
      </w:r>
      <w:r>
        <w:rPr>
          <w:rFonts w:eastAsia="仿宋_GB2312" w:hint="eastAsia"/>
          <w:kern w:val="0"/>
          <w:sz w:val="32"/>
          <w:szCs w:val="32"/>
        </w:rPr>
        <w:t>；农林水支出</w:t>
      </w:r>
      <w:r>
        <w:rPr>
          <w:rFonts w:eastAsia="仿宋_GB2312" w:hint="eastAsia"/>
          <w:kern w:val="0"/>
          <w:sz w:val="32"/>
          <w:szCs w:val="32"/>
        </w:rPr>
        <w:t>86.3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亿元，增长</w:t>
      </w:r>
      <w:r>
        <w:rPr>
          <w:rFonts w:eastAsia="仿宋_GB2312" w:hint="eastAsia"/>
          <w:kern w:val="0"/>
          <w:sz w:val="32"/>
          <w:szCs w:val="32"/>
        </w:rPr>
        <w:t>10.8%</w:t>
      </w:r>
      <w:r>
        <w:rPr>
          <w:rFonts w:eastAsia="仿宋_GB2312" w:hint="eastAsia"/>
          <w:kern w:val="0"/>
          <w:sz w:val="32"/>
          <w:szCs w:val="32"/>
        </w:rPr>
        <w:t>。</w:t>
      </w:r>
    </w:p>
    <w:p w:rsidR="00EA6885" w:rsidRDefault="007E707F">
      <w:pPr>
        <w:widowControl w:val="0"/>
        <w:spacing w:line="560" w:lineRule="exact"/>
        <w:ind w:firstLine="61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全州共有</w:t>
      </w:r>
      <w:r>
        <w:rPr>
          <w:rFonts w:eastAsia="仿宋_GB2312"/>
          <w:kern w:val="0"/>
          <w:sz w:val="32"/>
          <w:szCs w:val="32"/>
        </w:rPr>
        <w:t>17</w:t>
      </w:r>
      <w:r>
        <w:rPr>
          <w:rFonts w:eastAsia="仿宋_GB2312"/>
          <w:kern w:val="0"/>
          <w:sz w:val="32"/>
          <w:szCs w:val="32"/>
        </w:rPr>
        <w:t>家银行业金融机构，金融机构网点</w:t>
      </w:r>
      <w:r>
        <w:rPr>
          <w:rFonts w:eastAsia="仿宋_GB2312"/>
          <w:kern w:val="0"/>
          <w:sz w:val="32"/>
          <w:szCs w:val="32"/>
        </w:rPr>
        <w:t>381</w:t>
      </w:r>
      <w:r>
        <w:rPr>
          <w:rFonts w:eastAsia="仿宋_GB2312"/>
          <w:kern w:val="0"/>
          <w:sz w:val="32"/>
          <w:szCs w:val="32"/>
        </w:rPr>
        <w:t>个。年末全州金融机构人民币存款余额</w:t>
      </w:r>
      <w:r>
        <w:rPr>
          <w:rFonts w:eastAsia="仿宋_GB2312"/>
          <w:kern w:val="0"/>
          <w:sz w:val="32"/>
          <w:szCs w:val="32"/>
        </w:rPr>
        <w:t>1662.73</w:t>
      </w:r>
      <w:r>
        <w:rPr>
          <w:rFonts w:eastAsia="仿宋_GB2312"/>
          <w:kern w:val="0"/>
          <w:sz w:val="32"/>
          <w:szCs w:val="32"/>
        </w:rPr>
        <w:t>亿元，比年初增长</w:t>
      </w:r>
      <w:r>
        <w:rPr>
          <w:rFonts w:eastAsia="仿宋_GB2312"/>
          <w:kern w:val="0"/>
          <w:sz w:val="32"/>
          <w:szCs w:val="32"/>
        </w:rPr>
        <w:t>10.4%</w:t>
      </w:r>
      <w:r>
        <w:rPr>
          <w:rFonts w:eastAsia="仿宋_GB2312"/>
          <w:kern w:val="0"/>
          <w:sz w:val="32"/>
          <w:szCs w:val="32"/>
        </w:rPr>
        <w:t>。金融机构人民币贷款余额</w:t>
      </w:r>
      <w:r>
        <w:rPr>
          <w:rFonts w:eastAsia="仿宋_GB2312"/>
          <w:kern w:val="0"/>
          <w:sz w:val="32"/>
          <w:szCs w:val="32"/>
        </w:rPr>
        <w:t>1297.71</w:t>
      </w:r>
      <w:r>
        <w:rPr>
          <w:rFonts w:eastAsia="仿宋_GB2312"/>
          <w:kern w:val="0"/>
          <w:sz w:val="32"/>
          <w:szCs w:val="32"/>
        </w:rPr>
        <w:t>亿元，增长</w:t>
      </w:r>
      <w:r>
        <w:rPr>
          <w:rFonts w:eastAsia="仿宋_GB2312"/>
          <w:kern w:val="0"/>
          <w:sz w:val="32"/>
          <w:szCs w:val="32"/>
        </w:rPr>
        <w:t>11.3%</w:t>
      </w:r>
      <w:r>
        <w:rPr>
          <w:rFonts w:eastAsia="仿宋_GB2312"/>
          <w:kern w:val="0"/>
          <w:sz w:val="32"/>
          <w:szCs w:val="32"/>
        </w:rPr>
        <w:t>。</w:t>
      </w:r>
    </w:p>
    <w:p w:rsidR="00EA6885" w:rsidRDefault="007E707F">
      <w:pPr>
        <w:widowControl w:val="0"/>
        <w:spacing w:line="560" w:lineRule="exact"/>
        <w:ind w:firstLine="536"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28"/>
          <w:szCs w:val="28"/>
        </w:rPr>
        <w:t>表</w:t>
      </w:r>
      <w:r>
        <w:rPr>
          <w:rFonts w:eastAsia="黑体"/>
          <w:kern w:val="0"/>
          <w:sz w:val="28"/>
          <w:szCs w:val="28"/>
        </w:rPr>
        <w:t>3  2020</w:t>
      </w:r>
      <w:r>
        <w:rPr>
          <w:rFonts w:eastAsia="黑体"/>
          <w:kern w:val="0"/>
          <w:sz w:val="28"/>
          <w:szCs w:val="28"/>
        </w:rPr>
        <w:t>年末金融机构人民币存贷余额及增速</w:t>
      </w:r>
    </w:p>
    <w:tbl>
      <w:tblPr>
        <w:tblW w:w="8221" w:type="dxa"/>
        <w:tblInd w:w="2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8ECC8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984"/>
        <w:gridCol w:w="2126"/>
      </w:tblGrid>
      <w:tr w:rsidR="00EA6885">
        <w:trPr>
          <w:trHeight w:val="844"/>
        </w:trPr>
        <w:tc>
          <w:tcPr>
            <w:tcW w:w="41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E6B7" w:themeFill="background1" w:themeFillShade="F2"/>
            <w:vAlign w:val="center"/>
          </w:tcPr>
          <w:p w:rsidR="00EA6885" w:rsidRDefault="007E707F">
            <w:pPr>
              <w:widowControl w:val="0"/>
              <w:spacing w:line="500" w:lineRule="exact"/>
              <w:ind w:firstLineChars="0" w:firstLine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指</w:t>
            </w:r>
            <w:r>
              <w:rPr>
                <w:rFonts w:eastAsia="仿宋_GB2312"/>
                <w:sz w:val="28"/>
                <w:szCs w:val="32"/>
              </w:rPr>
              <w:t xml:space="preserve"> </w:t>
            </w:r>
            <w:r>
              <w:rPr>
                <w:rFonts w:eastAsia="仿宋_GB2312"/>
                <w:sz w:val="28"/>
                <w:szCs w:val="32"/>
              </w:rPr>
              <w:t xml:space="preserve"> </w:t>
            </w:r>
            <w:r>
              <w:rPr>
                <w:rFonts w:eastAsia="仿宋_GB2312"/>
                <w:sz w:val="28"/>
                <w:szCs w:val="32"/>
              </w:rPr>
              <w:t>标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7E6B7" w:themeFill="background1" w:themeFillShade="F2"/>
            <w:vAlign w:val="center"/>
          </w:tcPr>
          <w:p w:rsidR="00EA6885" w:rsidRDefault="007E707F">
            <w:pPr>
              <w:widowControl w:val="0"/>
              <w:spacing w:line="500" w:lineRule="exact"/>
              <w:ind w:firstLineChars="0" w:firstLine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年末数（亿元）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7E6B7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6885" w:rsidRDefault="007E707F">
            <w:pPr>
              <w:widowControl w:val="0"/>
              <w:spacing w:line="500" w:lineRule="exact"/>
              <w:ind w:firstLineChars="0" w:firstLine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比上年增减％</w:t>
            </w:r>
          </w:p>
        </w:tc>
      </w:tr>
      <w:tr w:rsidR="00EA6885">
        <w:trPr>
          <w:trHeight w:val="454"/>
        </w:trPr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8ECC8" w:themeFill="background1"/>
            <w:vAlign w:val="center"/>
          </w:tcPr>
          <w:p w:rsidR="00EA6885" w:rsidRDefault="007E707F">
            <w:pPr>
              <w:widowControl w:val="0"/>
              <w:spacing w:line="500" w:lineRule="exact"/>
              <w:ind w:firstLineChars="0" w:firstLine="0"/>
              <w:jc w:val="left"/>
              <w:rPr>
                <w:rFonts w:eastAsia="仿宋_GB2312"/>
                <w:b/>
                <w:sz w:val="28"/>
                <w:szCs w:val="32"/>
              </w:rPr>
            </w:pPr>
            <w:r>
              <w:rPr>
                <w:rFonts w:eastAsia="仿宋_GB2312"/>
                <w:b/>
                <w:sz w:val="28"/>
                <w:szCs w:val="32"/>
              </w:rPr>
              <w:t>各项存款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8ECC8" w:themeFill="background1"/>
            <w:tcMar>
              <w:right w:w="227" w:type="dxa"/>
            </w:tcMar>
            <w:vAlign w:val="center"/>
          </w:tcPr>
          <w:p w:rsidR="00EA6885" w:rsidRDefault="007E707F">
            <w:pPr>
              <w:widowControl w:val="0"/>
              <w:spacing w:line="500" w:lineRule="exact"/>
              <w:ind w:firstLineChars="0" w:firstLine="0"/>
              <w:jc w:val="right"/>
              <w:rPr>
                <w:rFonts w:eastAsia="仿宋_GB2312"/>
                <w:b/>
                <w:sz w:val="28"/>
                <w:szCs w:val="32"/>
              </w:rPr>
            </w:pPr>
            <w:r>
              <w:rPr>
                <w:rFonts w:eastAsia="仿宋_GB2312"/>
                <w:b/>
                <w:sz w:val="28"/>
                <w:szCs w:val="32"/>
              </w:rPr>
              <w:t>1662.73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8ECC8" w:themeFill="background1"/>
            <w:tcMar>
              <w:top w:w="0" w:type="dxa"/>
              <w:left w:w="0" w:type="dxa"/>
              <w:bottom w:w="0" w:type="dxa"/>
              <w:right w:w="227" w:type="dxa"/>
            </w:tcMar>
            <w:vAlign w:val="center"/>
          </w:tcPr>
          <w:p w:rsidR="00EA6885" w:rsidRDefault="007E707F">
            <w:pPr>
              <w:widowControl w:val="0"/>
              <w:spacing w:line="500" w:lineRule="exact"/>
              <w:ind w:firstLineChars="0" w:firstLine="0"/>
              <w:jc w:val="right"/>
              <w:rPr>
                <w:rFonts w:eastAsia="仿宋_GB2312"/>
                <w:b/>
                <w:sz w:val="28"/>
                <w:szCs w:val="32"/>
              </w:rPr>
            </w:pPr>
            <w:r>
              <w:rPr>
                <w:rFonts w:eastAsia="仿宋_GB2312"/>
                <w:b/>
                <w:sz w:val="28"/>
                <w:szCs w:val="32"/>
              </w:rPr>
              <w:t>10.4</w:t>
            </w:r>
          </w:p>
        </w:tc>
      </w:tr>
      <w:tr w:rsidR="00EA6885">
        <w:trPr>
          <w:trHeight w:val="454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8ECC8" w:themeFill="background1"/>
            <w:vAlign w:val="center"/>
          </w:tcPr>
          <w:p w:rsidR="00EA6885" w:rsidRDefault="007E707F">
            <w:pPr>
              <w:widowControl w:val="0"/>
              <w:spacing w:line="500" w:lineRule="exact"/>
              <w:ind w:firstLineChars="0" w:firstLine="0"/>
              <w:jc w:val="lef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其中：住户存款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right w:w="227" w:type="dxa"/>
            </w:tcMar>
            <w:vAlign w:val="center"/>
          </w:tcPr>
          <w:p w:rsidR="00EA6885" w:rsidRDefault="007E707F">
            <w:pPr>
              <w:spacing w:line="500" w:lineRule="exact"/>
              <w:ind w:firstLineChars="0" w:firstLine="0"/>
              <w:jc w:val="righ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1173.81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27" w:type="dxa"/>
            </w:tcMar>
            <w:vAlign w:val="center"/>
          </w:tcPr>
          <w:p w:rsidR="00EA6885" w:rsidRDefault="007E707F">
            <w:pPr>
              <w:spacing w:line="500" w:lineRule="exact"/>
              <w:ind w:firstLineChars="0" w:firstLine="0"/>
              <w:jc w:val="righ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15.2</w:t>
            </w:r>
          </w:p>
        </w:tc>
      </w:tr>
      <w:tr w:rsidR="00EA6885">
        <w:trPr>
          <w:trHeight w:val="454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8ECC8" w:themeFill="background1"/>
            <w:vAlign w:val="center"/>
          </w:tcPr>
          <w:p w:rsidR="00EA6885" w:rsidRDefault="007E707F" w:rsidP="00C75A25">
            <w:pPr>
              <w:widowControl w:val="0"/>
              <w:spacing w:line="500" w:lineRule="exact"/>
              <w:ind w:firstLineChars="300" w:firstLine="803"/>
              <w:jc w:val="lef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非金融企业存款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right w:w="227" w:type="dxa"/>
            </w:tcMar>
            <w:vAlign w:val="center"/>
          </w:tcPr>
          <w:p w:rsidR="00EA6885" w:rsidRDefault="007E707F">
            <w:pPr>
              <w:spacing w:line="500" w:lineRule="exact"/>
              <w:ind w:firstLine="53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214.89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27" w:type="dxa"/>
            </w:tcMar>
            <w:vAlign w:val="center"/>
          </w:tcPr>
          <w:p w:rsidR="00EA6885" w:rsidRDefault="007E707F">
            <w:pPr>
              <w:spacing w:line="500" w:lineRule="exact"/>
              <w:ind w:firstLine="53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-4.0</w:t>
            </w:r>
          </w:p>
        </w:tc>
      </w:tr>
      <w:tr w:rsidR="00EA6885">
        <w:trPr>
          <w:trHeight w:val="454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8ECC8" w:themeFill="background1"/>
            <w:vAlign w:val="center"/>
          </w:tcPr>
          <w:p w:rsidR="00EA6885" w:rsidRDefault="007E707F">
            <w:pPr>
              <w:widowControl w:val="0"/>
              <w:spacing w:line="500" w:lineRule="exact"/>
              <w:ind w:firstLineChars="0" w:firstLine="0"/>
              <w:jc w:val="left"/>
              <w:rPr>
                <w:rFonts w:eastAsia="仿宋_GB2312"/>
                <w:b/>
                <w:sz w:val="28"/>
                <w:szCs w:val="32"/>
              </w:rPr>
            </w:pPr>
            <w:r>
              <w:rPr>
                <w:rFonts w:eastAsia="仿宋_GB2312"/>
                <w:b/>
                <w:sz w:val="28"/>
                <w:szCs w:val="32"/>
              </w:rPr>
              <w:lastRenderedPageBreak/>
              <w:t>各项贷款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8ECC8" w:themeFill="background1"/>
            <w:tcMar>
              <w:right w:w="227" w:type="dxa"/>
            </w:tcMar>
            <w:vAlign w:val="center"/>
          </w:tcPr>
          <w:p w:rsidR="00EA6885" w:rsidRDefault="007E707F">
            <w:pPr>
              <w:widowControl w:val="0"/>
              <w:spacing w:line="500" w:lineRule="exact"/>
              <w:ind w:firstLineChars="0" w:firstLine="0"/>
              <w:jc w:val="righ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1297.71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8ECC8" w:themeFill="background1"/>
            <w:tcMar>
              <w:top w:w="0" w:type="dxa"/>
              <w:left w:w="0" w:type="dxa"/>
              <w:bottom w:w="0" w:type="dxa"/>
              <w:right w:w="227" w:type="dxa"/>
            </w:tcMar>
            <w:vAlign w:val="center"/>
          </w:tcPr>
          <w:p w:rsidR="00EA6885" w:rsidRDefault="007E707F">
            <w:pPr>
              <w:widowControl w:val="0"/>
              <w:spacing w:line="500" w:lineRule="exact"/>
              <w:ind w:firstLineChars="0" w:firstLine="0"/>
              <w:jc w:val="righ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11.3</w:t>
            </w:r>
          </w:p>
        </w:tc>
      </w:tr>
      <w:tr w:rsidR="00EA6885">
        <w:trPr>
          <w:trHeight w:val="454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8ECC8" w:themeFill="background1"/>
            <w:vAlign w:val="center"/>
          </w:tcPr>
          <w:p w:rsidR="00EA6885" w:rsidRDefault="007E707F">
            <w:pPr>
              <w:widowControl w:val="0"/>
              <w:spacing w:line="500" w:lineRule="exact"/>
              <w:ind w:firstLineChars="0" w:firstLine="0"/>
              <w:jc w:val="lef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其中：住户贷款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right w:w="227" w:type="dxa"/>
            </w:tcMar>
            <w:vAlign w:val="center"/>
          </w:tcPr>
          <w:p w:rsidR="00EA6885" w:rsidRDefault="007E707F">
            <w:pPr>
              <w:spacing w:line="500" w:lineRule="exact"/>
              <w:ind w:firstLineChars="0" w:firstLine="0"/>
              <w:jc w:val="righ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629.21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27" w:type="dxa"/>
            </w:tcMar>
            <w:vAlign w:val="center"/>
          </w:tcPr>
          <w:p w:rsidR="00EA6885" w:rsidRDefault="007E707F">
            <w:pPr>
              <w:spacing w:line="500" w:lineRule="exact"/>
              <w:ind w:firstLineChars="0" w:firstLine="0"/>
              <w:jc w:val="righ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13.3</w:t>
            </w:r>
          </w:p>
        </w:tc>
      </w:tr>
      <w:tr w:rsidR="00EA6885">
        <w:trPr>
          <w:trHeight w:val="454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8ECC8" w:themeFill="background1"/>
            <w:vAlign w:val="center"/>
          </w:tcPr>
          <w:p w:rsidR="00EA6885" w:rsidRDefault="007E707F" w:rsidP="00C75A25">
            <w:pPr>
              <w:widowControl w:val="0"/>
              <w:spacing w:line="500" w:lineRule="exact"/>
              <w:ind w:firstLineChars="300" w:firstLine="803"/>
              <w:jc w:val="lef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非金融企业及机关团体贷款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right w:w="227" w:type="dxa"/>
            </w:tcMar>
            <w:vAlign w:val="center"/>
          </w:tcPr>
          <w:p w:rsidR="00EA6885" w:rsidRDefault="007E707F">
            <w:pPr>
              <w:spacing w:line="500" w:lineRule="exact"/>
              <w:ind w:firstLine="53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668.48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27" w:type="dxa"/>
            </w:tcMar>
            <w:vAlign w:val="center"/>
          </w:tcPr>
          <w:p w:rsidR="00EA6885" w:rsidRDefault="007E707F">
            <w:pPr>
              <w:wordWrap w:val="0"/>
              <w:spacing w:line="500" w:lineRule="exact"/>
              <w:ind w:firstLine="53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9.4</w:t>
            </w:r>
          </w:p>
        </w:tc>
      </w:tr>
    </w:tbl>
    <w:p w:rsidR="00EA6885" w:rsidRDefault="007E707F">
      <w:pPr>
        <w:widowControl w:val="0"/>
        <w:spacing w:line="560" w:lineRule="exact"/>
        <w:ind w:firstLine="61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全州共有保险机构</w:t>
      </w:r>
      <w:r>
        <w:rPr>
          <w:rFonts w:eastAsia="仿宋_GB2312"/>
          <w:kern w:val="0"/>
          <w:sz w:val="32"/>
          <w:szCs w:val="32"/>
        </w:rPr>
        <w:t>38</w:t>
      </w:r>
      <w:r>
        <w:rPr>
          <w:rFonts w:eastAsia="仿宋_GB2312"/>
          <w:kern w:val="0"/>
          <w:sz w:val="32"/>
          <w:szCs w:val="32"/>
        </w:rPr>
        <w:t>家，其中财险公司</w:t>
      </w:r>
      <w:r>
        <w:rPr>
          <w:rFonts w:eastAsia="仿宋_GB2312"/>
          <w:kern w:val="0"/>
          <w:sz w:val="32"/>
          <w:szCs w:val="32"/>
        </w:rPr>
        <w:t>22</w:t>
      </w:r>
      <w:r>
        <w:rPr>
          <w:rFonts w:eastAsia="仿宋_GB2312"/>
          <w:kern w:val="0"/>
          <w:sz w:val="32"/>
          <w:szCs w:val="32"/>
        </w:rPr>
        <w:t>家、寿险公司</w:t>
      </w:r>
      <w:r>
        <w:rPr>
          <w:rFonts w:eastAsia="仿宋_GB2312"/>
          <w:kern w:val="0"/>
          <w:sz w:val="32"/>
          <w:szCs w:val="32"/>
        </w:rPr>
        <w:t>16</w:t>
      </w:r>
      <w:r>
        <w:rPr>
          <w:rFonts w:eastAsia="仿宋_GB2312"/>
          <w:kern w:val="0"/>
          <w:sz w:val="32"/>
          <w:szCs w:val="32"/>
        </w:rPr>
        <w:t>家。保险机构网点</w:t>
      </w:r>
      <w:r>
        <w:rPr>
          <w:rFonts w:eastAsia="仿宋_GB2312"/>
          <w:kern w:val="0"/>
          <w:sz w:val="32"/>
          <w:szCs w:val="32"/>
        </w:rPr>
        <w:t>295</w:t>
      </w:r>
      <w:r>
        <w:rPr>
          <w:rFonts w:eastAsia="仿宋_GB2312"/>
          <w:kern w:val="0"/>
          <w:sz w:val="32"/>
          <w:szCs w:val="32"/>
        </w:rPr>
        <w:t>个。保险中介机构</w:t>
      </w:r>
      <w:r>
        <w:rPr>
          <w:rFonts w:eastAsia="仿宋_GB2312"/>
          <w:kern w:val="0"/>
          <w:sz w:val="32"/>
          <w:szCs w:val="32"/>
        </w:rPr>
        <w:t>64</w:t>
      </w:r>
      <w:r>
        <w:rPr>
          <w:rFonts w:eastAsia="仿宋_GB2312"/>
          <w:kern w:val="0"/>
          <w:sz w:val="32"/>
          <w:szCs w:val="32"/>
        </w:rPr>
        <w:t>家。全年保险市场实现保费收入</w:t>
      </w:r>
      <w:r>
        <w:rPr>
          <w:rFonts w:eastAsia="仿宋_GB2312"/>
          <w:kern w:val="0"/>
          <w:sz w:val="32"/>
          <w:szCs w:val="32"/>
        </w:rPr>
        <w:t>57.07</w:t>
      </w:r>
      <w:r>
        <w:rPr>
          <w:rFonts w:eastAsia="仿宋_GB2312"/>
          <w:kern w:val="0"/>
          <w:sz w:val="32"/>
          <w:szCs w:val="32"/>
        </w:rPr>
        <w:t>亿元，比上年增长</w:t>
      </w:r>
      <w:r>
        <w:rPr>
          <w:rFonts w:eastAsia="仿宋_GB2312"/>
          <w:kern w:val="0"/>
          <w:sz w:val="32"/>
          <w:szCs w:val="32"/>
        </w:rPr>
        <w:t>8.1%</w:t>
      </w:r>
      <w:r>
        <w:rPr>
          <w:rFonts w:eastAsia="仿宋_GB2312"/>
          <w:kern w:val="0"/>
          <w:sz w:val="32"/>
          <w:szCs w:val="32"/>
        </w:rPr>
        <w:t>。其中，人身险市场实现保费收入</w:t>
      </w:r>
      <w:r>
        <w:rPr>
          <w:rFonts w:eastAsia="仿宋_GB2312"/>
          <w:kern w:val="0"/>
          <w:sz w:val="32"/>
          <w:szCs w:val="32"/>
        </w:rPr>
        <w:t>38.85</w:t>
      </w:r>
      <w:r>
        <w:rPr>
          <w:rFonts w:eastAsia="仿宋_GB2312"/>
          <w:kern w:val="0"/>
          <w:sz w:val="32"/>
          <w:szCs w:val="32"/>
        </w:rPr>
        <w:t>亿元，增长</w:t>
      </w:r>
      <w:r>
        <w:rPr>
          <w:rFonts w:eastAsia="仿宋_GB2312"/>
          <w:kern w:val="0"/>
          <w:sz w:val="32"/>
          <w:szCs w:val="32"/>
        </w:rPr>
        <w:t>13.8%</w:t>
      </w:r>
      <w:r>
        <w:rPr>
          <w:rFonts w:eastAsia="仿宋_GB2312"/>
          <w:kern w:val="0"/>
          <w:sz w:val="32"/>
          <w:szCs w:val="32"/>
        </w:rPr>
        <w:t>；财产险市场实现保费收入</w:t>
      </w:r>
      <w:r>
        <w:rPr>
          <w:rFonts w:eastAsia="仿宋_GB2312"/>
          <w:kern w:val="0"/>
          <w:sz w:val="32"/>
          <w:szCs w:val="32"/>
        </w:rPr>
        <w:t>18.22</w:t>
      </w:r>
      <w:r>
        <w:rPr>
          <w:rFonts w:eastAsia="仿宋_GB2312"/>
          <w:kern w:val="0"/>
          <w:sz w:val="32"/>
          <w:szCs w:val="32"/>
        </w:rPr>
        <w:t>亿元，下降</w:t>
      </w:r>
      <w:r>
        <w:rPr>
          <w:rFonts w:eastAsia="仿宋_GB2312"/>
          <w:kern w:val="0"/>
          <w:sz w:val="32"/>
          <w:szCs w:val="32"/>
        </w:rPr>
        <w:t>2.4%</w:t>
      </w:r>
      <w:r>
        <w:rPr>
          <w:rFonts w:eastAsia="仿宋_GB2312"/>
          <w:kern w:val="0"/>
          <w:sz w:val="32"/>
          <w:szCs w:val="32"/>
        </w:rPr>
        <w:t>。全年支付各类赔款及给付金额</w:t>
      </w:r>
      <w:r>
        <w:rPr>
          <w:rFonts w:eastAsia="仿宋_GB2312"/>
          <w:kern w:val="0"/>
          <w:sz w:val="32"/>
          <w:szCs w:val="32"/>
        </w:rPr>
        <w:t>19.39</w:t>
      </w:r>
      <w:r>
        <w:rPr>
          <w:rFonts w:eastAsia="仿宋_GB2312"/>
          <w:kern w:val="0"/>
          <w:sz w:val="32"/>
          <w:szCs w:val="32"/>
        </w:rPr>
        <w:t>亿元，下降</w:t>
      </w:r>
      <w:r>
        <w:rPr>
          <w:rFonts w:eastAsia="仿宋_GB2312"/>
          <w:kern w:val="0"/>
          <w:sz w:val="32"/>
          <w:szCs w:val="32"/>
        </w:rPr>
        <w:t>9.4%</w:t>
      </w:r>
      <w:r>
        <w:rPr>
          <w:rFonts w:eastAsia="仿宋_GB2312"/>
          <w:kern w:val="0"/>
          <w:sz w:val="32"/>
          <w:szCs w:val="32"/>
        </w:rPr>
        <w:t>。</w:t>
      </w:r>
    </w:p>
    <w:p w:rsidR="00EA6885" w:rsidRDefault="007E707F">
      <w:pPr>
        <w:widowControl w:val="0"/>
        <w:spacing w:line="560" w:lineRule="exact"/>
        <w:ind w:firstLine="61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全州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家证券公司开设的股票基金账户</w:t>
      </w:r>
      <w:r>
        <w:rPr>
          <w:rFonts w:eastAsia="仿宋_GB2312"/>
          <w:kern w:val="0"/>
          <w:sz w:val="32"/>
          <w:szCs w:val="32"/>
        </w:rPr>
        <w:t>10.21</w:t>
      </w:r>
      <w:r>
        <w:rPr>
          <w:rFonts w:eastAsia="仿宋_GB2312"/>
          <w:kern w:val="0"/>
          <w:sz w:val="32"/>
          <w:szCs w:val="32"/>
        </w:rPr>
        <w:t>万个，比上年增长</w:t>
      </w:r>
      <w:r>
        <w:rPr>
          <w:rFonts w:eastAsia="仿宋_GB2312"/>
          <w:kern w:val="0"/>
          <w:sz w:val="32"/>
          <w:szCs w:val="32"/>
        </w:rPr>
        <w:t>7.</w:t>
      </w:r>
      <w:r>
        <w:rPr>
          <w:rFonts w:eastAsia="仿宋_GB2312" w:hint="eastAsia"/>
          <w:kern w:val="0"/>
          <w:sz w:val="32"/>
          <w:szCs w:val="32"/>
        </w:rPr>
        <w:t>9</w:t>
      </w:r>
      <w:r>
        <w:rPr>
          <w:rFonts w:eastAsia="仿宋_GB2312"/>
          <w:kern w:val="0"/>
          <w:sz w:val="32"/>
          <w:szCs w:val="32"/>
        </w:rPr>
        <w:t>%</w:t>
      </w:r>
      <w:r>
        <w:rPr>
          <w:rFonts w:eastAsia="仿宋_GB2312"/>
          <w:kern w:val="0"/>
          <w:sz w:val="32"/>
          <w:szCs w:val="32"/>
        </w:rPr>
        <w:t>。全年保证金存款</w:t>
      </w:r>
      <w:r>
        <w:rPr>
          <w:rFonts w:eastAsia="仿宋_GB2312"/>
          <w:kern w:val="0"/>
          <w:sz w:val="32"/>
          <w:szCs w:val="32"/>
        </w:rPr>
        <w:t>3.94</w:t>
      </w:r>
      <w:r>
        <w:rPr>
          <w:rFonts w:eastAsia="仿宋_GB2312"/>
          <w:kern w:val="0"/>
          <w:sz w:val="32"/>
          <w:szCs w:val="32"/>
        </w:rPr>
        <w:t>亿元，增长</w:t>
      </w:r>
      <w:r>
        <w:rPr>
          <w:rFonts w:eastAsia="仿宋_GB2312"/>
          <w:kern w:val="0"/>
          <w:sz w:val="32"/>
          <w:szCs w:val="32"/>
        </w:rPr>
        <w:t>157.5%</w:t>
      </w:r>
      <w:r>
        <w:rPr>
          <w:rFonts w:eastAsia="仿宋_GB2312"/>
          <w:kern w:val="0"/>
          <w:sz w:val="32"/>
          <w:szCs w:val="32"/>
        </w:rPr>
        <w:t>。交易额</w:t>
      </w:r>
      <w:r>
        <w:rPr>
          <w:rFonts w:eastAsia="仿宋_GB2312"/>
          <w:kern w:val="0"/>
          <w:sz w:val="32"/>
          <w:szCs w:val="32"/>
        </w:rPr>
        <w:t>626.85</w:t>
      </w:r>
      <w:r>
        <w:rPr>
          <w:rFonts w:eastAsia="仿宋_GB2312"/>
          <w:kern w:val="0"/>
          <w:sz w:val="32"/>
          <w:szCs w:val="32"/>
        </w:rPr>
        <w:t>亿元，增长</w:t>
      </w:r>
      <w:r>
        <w:rPr>
          <w:rFonts w:eastAsia="仿宋_GB2312"/>
          <w:kern w:val="0"/>
          <w:sz w:val="32"/>
          <w:szCs w:val="32"/>
        </w:rPr>
        <w:t>53.8%</w:t>
      </w:r>
      <w:r>
        <w:rPr>
          <w:rFonts w:eastAsia="仿宋_GB2312"/>
          <w:kern w:val="0"/>
          <w:sz w:val="32"/>
          <w:szCs w:val="32"/>
        </w:rPr>
        <w:t>。</w:t>
      </w:r>
    </w:p>
    <w:p w:rsidR="00EA6885" w:rsidRDefault="007E707F">
      <w:pPr>
        <w:widowControl w:val="0"/>
        <w:spacing w:line="560" w:lineRule="exact"/>
        <w:ind w:firstLine="616"/>
        <w:outlineLvl w:val="0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九、教育和科学技术</w:t>
      </w:r>
    </w:p>
    <w:p w:rsidR="00EA6885" w:rsidRDefault="007E707F">
      <w:pPr>
        <w:widowControl w:val="0"/>
        <w:spacing w:line="560" w:lineRule="exact"/>
        <w:ind w:firstLine="616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全州共有幼儿园</w:t>
      </w:r>
      <w:r>
        <w:rPr>
          <w:rFonts w:eastAsia="仿宋_GB2312"/>
          <w:kern w:val="0"/>
          <w:sz w:val="32"/>
          <w:szCs w:val="32"/>
        </w:rPr>
        <w:t>578</w:t>
      </w:r>
      <w:r>
        <w:rPr>
          <w:rFonts w:eastAsia="仿宋_GB2312"/>
          <w:kern w:val="0"/>
          <w:sz w:val="32"/>
          <w:szCs w:val="32"/>
        </w:rPr>
        <w:t>所，在园幼儿</w:t>
      </w:r>
      <w:r>
        <w:rPr>
          <w:rFonts w:eastAsia="仿宋_GB2312"/>
          <w:kern w:val="0"/>
          <w:sz w:val="32"/>
          <w:szCs w:val="32"/>
        </w:rPr>
        <w:t>10.08</w:t>
      </w:r>
      <w:r>
        <w:rPr>
          <w:rFonts w:eastAsia="仿宋_GB2312"/>
          <w:kern w:val="0"/>
          <w:sz w:val="32"/>
          <w:szCs w:val="32"/>
        </w:rPr>
        <w:t>万人。小学</w:t>
      </w:r>
      <w:r>
        <w:rPr>
          <w:rFonts w:eastAsia="仿宋_GB2312"/>
          <w:kern w:val="0"/>
          <w:sz w:val="32"/>
          <w:szCs w:val="32"/>
        </w:rPr>
        <w:t>456</w:t>
      </w:r>
      <w:r>
        <w:rPr>
          <w:rFonts w:eastAsia="仿宋_GB2312"/>
          <w:kern w:val="0"/>
          <w:sz w:val="32"/>
          <w:szCs w:val="32"/>
        </w:rPr>
        <w:t>所，招生</w:t>
      </w:r>
      <w:r>
        <w:rPr>
          <w:rFonts w:eastAsia="仿宋_GB2312"/>
          <w:kern w:val="0"/>
          <w:sz w:val="32"/>
          <w:szCs w:val="32"/>
        </w:rPr>
        <w:t>3.79</w:t>
      </w:r>
      <w:r>
        <w:rPr>
          <w:rFonts w:eastAsia="仿宋_GB2312"/>
          <w:kern w:val="0"/>
          <w:sz w:val="32"/>
          <w:szCs w:val="32"/>
        </w:rPr>
        <w:t>万人，在校学生</w:t>
      </w:r>
      <w:r>
        <w:rPr>
          <w:rFonts w:eastAsia="仿宋_GB2312"/>
          <w:kern w:val="0"/>
          <w:sz w:val="32"/>
          <w:szCs w:val="32"/>
        </w:rPr>
        <w:t>25.83</w:t>
      </w:r>
      <w:r>
        <w:rPr>
          <w:rFonts w:eastAsia="仿宋_GB2312"/>
          <w:kern w:val="0"/>
          <w:sz w:val="32"/>
          <w:szCs w:val="32"/>
        </w:rPr>
        <w:t>万人。普通中学</w:t>
      </w:r>
      <w:r>
        <w:rPr>
          <w:rFonts w:eastAsia="仿宋_GB2312"/>
          <w:kern w:val="0"/>
          <w:sz w:val="32"/>
          <w:szCs w:val="32"/>
        </w:rPr>
        <w:t>174</w:t>
      </w:r>
      <w:r>
        <w:rPr>
          <w:rFonts w:eastAsia="仿宋_GB2312"/>
          <w:kern w:val="0"/>
          <w:sz w:val="32"/>
          <w:szCs w:val="32"/>
        </w:rPr>
        <w:t>所，招生</w:t>
      </w:r>
      <w:r>
        <w:rPr>
          <w:rFonts w:eastAsia="仿宋_GB2312"/>
          <w:kern w:val="0"/>
          <w:sz w:val="32"/>
          <w:szCs w:val="32"/>
        </w:rPr>
        <w:t>7.17</w:t>
      </w:r>
      <w:r>
        <w:rPr>
          <w:rFonts w:eastAsia="仿宋_GB2312"/>
          <w:kern w:val="0"/>
          <w:sz w:val="32"/>
          <w:szCs w:val="32"/>
        </w:rPr>
        <w:t>万人，在校学生</w:t>
      </w:r>
      <w:r>
        <w:rPr>
          <w:rFonts w:eastAsia="仿宋_GB2312"/>
          <w:kern w:val="0"/>
          <w:sz w:val="32"/>
          <w:szCs w:val="32"/>
        </w:rPr>
        <w:t>21</w:t>
      </w:r>
      <w:r>
        <w:rPr>
          <w:rFonts w:eastAsia="仿宋_GB2312"/>
          <w:kern w:val="0"/>
          <w:sz w:val="32"/>
          <w:szCs w:val="32"/>
        </w:rPr>
        <w:t>万人。中等职业学校</w:t>
      </w:r>
      <w:r>
        <w:rPr>
          <w:rFonts w:eastAsia="仿宋_GB2312"/>
          <w:kern w:val="0"/>
          <w:sz w:val="32"/>
          <w:szCs w:val="32"/>
        </w:rPr>
        <w:t>12</w:t>
      </w:r>
      <w:r>
        <w:rPr>
          <w:rFonts w:eastAsia="仿宋_GB2312"/>
          <w:kern w:val="0"/>
          <w:sz w:val="32"/>
          <w:szCs w:val="32"/>
        </w:rPr>
        <w:t>所，招生</w:t>
      </w:r>
      <w:r>
        <w:rPr>
          <w:rFonts w:eastAsia="仿宋_GB2312"/>
          <w:kern w:val="0"/>
          <w:sz w:val="32"/>
          <w:szCs w:val="32"/>
        </w:rPr>
        <w:t>1.1</w:t>
      </w:r>
      <w:r>
        <w:rPr>
          <w:rFonts w:eastAsia="仿宋_GB2312"/>
          <w:kern w:val="0"/>
          <w:sz w:val="32"/>
          <w:szCs w:val="32"/>
        </w:rPr>
        <w:t>万人，在校学生</w:t>
      </w:r>
      <w:r>
        <w:rPr>
          <w:rFonts w:eastAsia="仿宋_GB2312"/>
          <w:kern w:val="0"/>
          <w:sz w:val="32"/>
          <w:szCs w:val="32"/>
        </w:rPr>
        <w:t>3.32</w:t>
      </w:r>
      <w:r>
        <w:rPr>
          <w:rFonts w:eastAsia="仿宋_GB2312"/>
          <w:kern w:val="0"/>
          <w:sz w:val="32"/>
          <w:szCs w:val="32"/>
        </w:rPr>
        <w:t>万人。普通高校</w:t>
      </w:r>
      <w:r>
        <w:rPr>
          <w:rFonts w:eastAsia="仿宋_GB2312"/>
          <w:kern w:val="0"/>
          <w:sz w:val="32"/>
          <w:szCs w:val="32"/>
        </w:rPr>
        <w:t>3</w:t>
      </w:r>
      <w:r>
        <w:rPr>
          <w:rFonts w:eastAsia="仿宋_GB2312"/>
          <w:kern w:val="0"/>
          <w:sz w:val="32"/>
          <w:szCs w:val="32"/>
        </w:rPr>
        <w:t>所，招生</w:t>
      </w:r>
      <w:r>
        <w:rPr>
          <w:rFonts w:eastAsia="仿宋_GB2312"/>
          <w:kern w:val="0"/>
          <w:sz w:val="32"/>
          <w:szCs w:val="32"/>
        </w:rPr>
        <w:t>1.66</w:t>
      </w:r>
      <w:r>
        <w:rPr>
          <w:rFonts w:eastAsia="仿宋_GB2312"/>
          <w:kern w:val="0"/>
          <w:sz w:val="32"/>
          <w:szCs w:val="32"/>
        </w:rPr>
        <w:t>万人，在校生</w:t>
      </w:r>
      <w:r>
        <w:rPr>
          <w:rFonts w:eastAsia="仿宋_GB2312"/>
          <w:kern w:val="0"/>
          <w:sz w:val="32"/>
          <w:szCs w:val="32"/>
        </w:rPr>
        <w:t>4.49</w:t>
      </w:r>
      <w:r>
        <w:rPr>
          <w:rFonts w:eastAsia="仿宋_GB2312"/>
          <w:kern w:val="0"/>
          <w:sz w:val="32"/>
          <w:szCs w:val="32"/>
        </w:rPr>
        <w:t>万人，毕业生</w:t>
      </w:r>
      <w:r>
        <w:rPr>
          <w:rFonts w:eastAsia="仿宋_GB2312"/>
          <w:kern w:val="0"/>
          <w:sz w:val="32"/>
          <w:szCs w:val="32"/>
        </w:rPr>
        <w:t>1.05</w:t>
      </w:r>
      <w:r>
        <w:rPr>
          <w:rFonts w:eastAsia="仿宋_GB2312"/>
          <w:kern w:val="0"/>
          <w:sz w:val="32"/>
          <w:szCs w:val="32"/>
        </w:rPr>
        <w:t>万人。</w:t>
      </w:r>
    </w:p>
    <w:p w:rsidR="00EA6885" w:rsidRDefault="007E707F">
      <w:pPr>
        <w:widowControl w:val="0"/>
        <w:spacing w:line="560" w:lineRule="exact"/>
        <w:ind w:firstLine="61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全州高新产业</w:t>
      </w:r>
      <w:r>
        <w:rPr>
          <w:rFonts w:eastAsia="仿宋_GB2312" w:hint="eastAsia"/>
          <w:sz w:val="32"/>
          <w:szCs w:val="32"/>
        </w:rPr>
        <w:t>企业</w:t>
      </w:r>
      <w:r>
        <w:rPr>
          <w:rFonts w:eastAsia="仿宋_GB2312"/>
          <w:sz w:val="32"/>
          <w:szCs w:val="32"/>
        </w:rPr>
        <w:t>实现增加值</w:t>
      </w:r>
      <w:r>
        <w:rPr>
          <w:rFonts w:eastAsia="仿宋_GB2312"/>
          <w:sz w:val="32"/>
          <w:szCs w:val="32"/>
        </w:rPr>
        <w:t>29.67</w:t>
      </w:r>
      <w:r>
        <w:rPr>
          <w:rFonts w:eastAsia="仿宋_GB2312"/>
          <w:sz w:val="32"/>
          <w:szCs w:val="32"/>
        </w:rPr>
        <w:t>亿元，占全州地区生产总值比重为</w:t>
      </w:r>
      <w:r>
        <w:rPr>
          <w:rFonts w:eastAsia="仿宋_GB2312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全年登记科技成果</w:t>
      </w:r>
      <w:r>
        <w:rPr>
          <w:rFonts w:eastAsia="仿宋_GB2312" w:hint="eastAsia"/>
          <w:sz w:val="32"/>
          <w:szCs w:val="32"/>
        </w:rPr>
        <w:t>52</w:t>
      </w:r>
      <w:r>
        <w:rPr>
          <w:rFonts w:eastAsia="仿宋_GB2312" w:hint="eastAsia"/>
          <w:sz w:val="32"/>
          <w:szCs w:val="32"/>
        </w:rPr>
        <w:t>项，完成技术合同认定登记</w:t>
      </w:r>
      <w:r>
        <w:rPr>
          <w:rFonts w:eastAsia="仿宋_GB2312" w:hint="eastAsia"/>
          <w:sz w:val="32"/>
          <w:szCs w:val="32"/>
        </w:rPr>
        <w:t>7.45</w:t>
      </w:r>
      <w:r>
        <w:rPr>
          <w:rFonts w:eastAsia="仿宋_GB2312" w:hint="eastAsia"/>
          <w:sz w:val="32"/>
          <w:szCs w:val="32"/>
        </w:rPr>
        <w:t>亿元，比上年增长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0.2</w:t>
      </w:r>
      <w:r>
        <w:rPr>
          <w:rFonts w:eastAsia="仿宋_GB2312" w:hint="eastAsia"/>
          <w:sz w:val="32"/>
          <w:szCs w:val="32"/>
        </w:rPr>
        <w:t>%</w:t>
      </w:r>
      <w:r>
        <w:rPr>
          <w:rFonts w:eastAsia="仿宋_GB2312" w:hint="eastAsia"/>
          <w:sz w:val="32"/>
          <w:szCs w:val="32"/>
        </w:rPr>
        <w:t>。年末州级以上创新平台</w:t>
      </w:r>
      <w:r>
        <w:rPr>
          <w:rFonts w:eastAsia="仿宋_GB2312" w:hint="eastAsia"/>
          <w:sz w:val="32"/>
          <w:szCs w:val="32"/>
        </w:rPr>
        <w:t>113</w:t>
      </w:r>
      <w:r>
        <w:rPr>
          <w:rFonts w:eastAsia="仿宋_GB2312" w:hint="eastAsia"/>
          <w:sz w:val="32"/>
          <w:szCs w:val="32"/>
        </w:rPr>
        <w:t>家，增长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1.8</w:t>
      </w:r>
      <w:r>
        <w:rPr>
          <w:rFonts w:eastAsia="仿宋_GB2312" w:hint="eastAsia"/>
          <w:sz w:val="32"/>
          <w:szCs w:val="32"/>
        </w:rPr>
        <w:t>%</w:t>
      </w:r>
      <w:r>
        <w:rPr>
          <w:rFonts w:eastAsia="仿宋_GB2312" w:hint="eastAsia"/>
          <w:sz w:val="32"/>
          <w:szCs w:val="32"/>
        </w:rPr>
        <w:t>。</w:t>
      </w:r>
    </w:p>
    <w:p w:rsidR="00EA6885" w:rsidRDefault="007E707F">
      <w:pPr>
        <w:widowControl w:val="0"/>
        <w:spacing w:line="560" w:lineRule="exact"/>
        <w:ind w:firstLine="61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全年获得专利授权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327</w:t>
      </w:r>
      <w:r>
        <w:rPr>
          <w:rFonts w:eastAsia="仿宋_GB2312"/>
          <w:kern w:val="0"/>
          <w:sz w:val="32"/>
          <w:szCs w:val="32"/>
        </w:rPr>
        <w:t>件</w:t>
      </w:r>
      <w:r>
        <w:rPr>
          <w:rFonts w:eastAsia="仿宋_GB2312" w:hint="eastAsia"/>
          <w:kern w:val="0"/>
          <w:sz w:val="32"/>
          <w:szCs w:val="32"/>
        </w:rPr>
        <w:t>。</w:t>
      </w:r>
      <w:r>
        <w:rPr>
          <w:rFonts w:eastAsia="仿宋_GB2312"/>
          <w:kern w:val="0"/>
          <w:sz w:val="32"/>
          <w:szCs w:val="32"/>
        </w:rPr>
        <w:t>其中</w:t>
      </w:r>
      <w:r>
        <w:rPr>
          <w:rFonts w:eastAsia="仿宋_GB2312" w:hint="eastAsia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发明专利</w:t>
      </w:r>
      <w:r>
        <w:rPr>
          <w:rFonts w:eastAsia="仿宋_GB2312"/>
          <w:kern w:val="0"/>
          <w:sz w:val="32"/>
          <w:szCs w:val="32"/>
        </w:rPr>
        <w:t>71</w:t>
      </w:r>
      <w:r>
        <w:rPr>
          <w:rFonts w:eastAsia="仿宋_GB2312"/>
          <w:kern w:val="0"/>
          <w:sz w:val="32"/>
          <w:szCs w:val="32"/>
        </w:rPr>
        <w:t>件，实用新</w:t>
      </w:r>
      <w:r>
        <w:rPr>
          <w:rFonts w:eastAsia="仿宋_GB2312"/>
          <w:kern w:val="0"/>
          <w:sz w:val="32"/>
          <w:szCs w:val="32"/>
        </w:rPr>
        <w:lastRenderedPageBreak/>
        <w:t>型专利</w:t>
      </w:r>
      <w:r>
        <w:rPr>
          <w:rFonts w:eastAsia="仿宋_GB2312"/>
          <w:kern w:val="0"/>
          <w:sz w:val="32"/>
          <w:szCs w:val="32"/>
        </w:rPr>
        <w:t>765</w:t>
      </w:r>
      <w:r>
        <w:rPr>
          <w:rFonts w:eastAsia="仿宋_GB2312"/>
          <w:kern w:val="0"/>
          <w:sz w:val="32"/>
          <w:szCs w:val="32"/>
        </w:rPr>
        <w:t>件，外观设计</w:t>
      </w:r>
      <w:r>
        <w:rPr>
          <w:rFonts w:eastAsia="仿宋_GB2312"/>
          <w:kern w:val="0"/>
          <w:sz w:val="32"/>
          <w:szCs w:val="32"/>
        </w:rPr>
        <w:t>491</w:t>
      </w:r>
      <w:r>
        <w:rPr>
          <w:rFonts w:eastAsia="仿宋_GB2312"/>
          <w:kern w:val="0"/>
          <w:sz w:val="32"/>
          <w:szCs w:val="32"/>
        </w:rPr>
        <w:t>件。年末有效注册商标</w:t>
      </w:r>
      <w:r>
        <w:rPr>
          <w:rFonts w:eastAsia="仿宋_GB2312"/>
          <w:kern w:val="0"/>
          <w:sz w:val="32"/>
          <w:szCs w:val="32"/>
        </w:rPr>
        <w:t>24289</w:t>
      </w:r>
      <w:r>
        <w:rPr>
          <w:rFonts w:eastAsia="仿宋_GB2312"/>
          <w:kern w:val="0"/>
          <w:sz w:val="32"/>
          <w:szCs w:val="32"/>
        </w:rPr>
        <w:t>件，比上年增长</w:t>
      </w:r>
      <w:r>
        <w:rPr>
          <w:rFonts w:eastAsia="仿宋_GB2312"/>
          <w:kern w:val="0"/>
          <w:sz w:val="32"/>
          <w:szCs w:val="32"/>
        </w:rPr>
        <w:t>22.9%</w:t>
      </w:r>
      <w:r>
        <w:rPr>
          <w:rFonts w:eastAsia="仿宋_GB2312"/>
          <w:kern w:val="0"/>
          <w:sz w:val="32"/>
          <w:szCs w:val="32"/>
        </w:rPr>
        <w:t>。全年新注册商标</w:t>
      </w:r>
      <w:r>
        <w:rPr>
          <w:rFonts w:eastAsia="仿宋_GB2312"/>
          <w:kern w:val="0"/>
          <w:sz w:val="32"/>
          <w:szCs w:val="32"/>
        </w:rPr>
        <w:t>4639</w:t>
      </w:r>
      <w:r>
        <w:rPr>
          <w:rFonts w:eastAsia="仿宋_GB2312"/>
          <w:kern w:val="0"/>
          <w:sz w:val="32"/>
          <w:szCs w:val="32"/>
        </w:rPr>
        <w:t>件。新增地理标志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件，地理标志商标达到</w:t>
      </w:r>
      <w:r>
        <w:rPr>
          <w:rFonts w:eastAsia="仿宋_GB2312"/>
          <w:kern w:val="0"/>
          <w:sz w:val="32"/>
          <w:szCs w:val="32"/>
        </w:rPr>
        <w:t>35</w:t>
      </w:r>
      <w:r>
        <w:rPr>
          <w:rFonts w:eastAsia="仿宋_GB2312"/>
          <w:kern w:val="0"/>
          <w:sz w:val="32"/>
          <w:szCs w:val="32"/>
        </w:rPr>
        <w:t>件，地理标志保护产品</w:t>
      </w:r>
      <w:r>
        <w:rPr>
          <w:rFonts w:eastAsia="仿宋_GB2312"/>
          <w:kern w:val="0"/>
          <w:sz w:val="32"/>
          <w:szCs w:val="32"/>
        </w:rPr>
        <w:t>24</w:t>
      </w:r>
      <w:r>
        <w:rPr>
          <w:rFonts w:eastAsia="仿宋_GB2312"/>
          <w:kern w:val="0"/>
          <w:sz w:val="32"/>
          <w:szCs w:val="32"/>
        </w:rPr>
        <w:t>件，中国驰名商标</w:t>
      </w:r>
      <w:r>
        <w:rPr>
          <w:rFonts w:eastAsia="仿宋_GB2312"/>
          <w:kern w:val="0"/>
          <w:sz w:val="32"/>
          <w:szCs w:val="32"/>
        </w:rPr>
        <w:t>5</w:t>
      </w:r>
      <w:r>
        <w:rPr>
          <w:rFonts w:eastAsia="仿宋_GB2312"/>
          <w:kern w:val="0"/>
          <w:sz w:val="32"/>
          <w:szCs w:val="32"/>
        </w:rPr>
        <w:t>件。</w:t>
      </w:r>
    </w:p>
    <w:p w:rsidR="00EA6885" w:rsidRDefault="007E707F">
      <w:pPr>
        <w:widowControl w:val="0"/>
        <w:spacing w:line="560" w:lineRule="exact"/>
        <w:ind w:firstLine="616"/>
        <w:outlineLvl w:val="0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十、旅游</w:t>
      </w:r>
      <w:r>
        <w:rPr>
          <w:rFonts w:eastAsia="黑体" w:hint="eastAsia"/>
          <w:bCs/>
          <w:kern w:val="0"/>
          <w:sz w:val="32"/>
          <w:szCs w:val="32"/>
        </w:rPr>
        <w:t>、</w:t>
      </w:r>
      <w:r>
        <w:rPr>
          <w:rFonts w:eastAsia="黑体"/>
          <w:bCs/>
          <w:kern w:val="0"/>
          <w:sz w:val="32"/>
          <w:szCs w:val="32"/>
        </w:rPr>
        <w:t>文化、体育和卫生健康</w:t>
      </w:r>
    </w:p>
    <w:p w:rsidR="00EA6885" w:rsidRDefault="007E707F">
      <w:pPr>
        <w:widowControl w:val="0"/>
        <w:spacing w:line="560" w:lineRule="exact"/>
        <w:ind w:firstLine="616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color w:val="000000" w:themeColor="text1"/>
          <w:kern w:val="0"/>
          <w:sz w:val="32"/>
          <w:szCs w:val="32"/>
        </w:rPr>
        <w:t>利川市成功创建国家全域旅游示范区，腾龙洞成功创建</w:t>
      </w:r>
      <w:r>
        <w:rPr>
          <w:rFonts w:eastAsia="仿宋_GB2312"/>
          <w:bCs/>
          <w:color w:val="000000" w:themeColor="text1"/>
          <w:kern w:val="0"/>
          <w:sz w:val="32"/>
          <w:szCs w:val="32"/>
        </w:rPr>
        <w:t>5A</w:t>
      </w:r>
      <w:r>
        <w:rPr>
          <w:rFonts w:eastAsia="仿宋_GB2312"/>
          <w:bCs/>
          <w:color w:val="000000" w:themeColor="text1"/>
          <w:kern w:val="0"/>
          <w:sz w:val="32"/>
          <w:szCs w:val="32"/>
        </w:rPr>
        <w:t>级旅游景区，</w:t>
      </w:r>
      <w:proofErr w:type="gramStart"/>
      <w:r>
        <w:rPr>
          <w:rFonts w:eastAsia="仿宋_GB2312"/>
          <w:bCs/>
          <w:color w:val="000000" w:themeColor="text1"/>
          <w:kern w:val="0"/>
          <w:sz w:val="32"/>
          <w:szCs w:val="32"/>
        </w:rPr>
        <w:t>狮子关成功</w:t>
      </w:r>
      <w:proofErr w:type="gramEnd"/>
      <w:r>
        <w:rPr>
          <w:rFonts w:eastAsia="仿宋_GB2312"/>
          <w:bCs/>
          <w:color w:val="000000" w:themeColor="text1"/>
          <w:kern w:val="0"/>
          <w:sz w:val="32"/>
          <w:szCs w:val="32"/>
        </w:rPr>
        <w:t>创建</w:t>
      </w:r>
      <w:r>
        <w:rPr>
          <w:rFonts w:eastAsia="仿宋_GB2312"/>
          <w:bCs/>
          <w:color w:val="000000" w:themeColor="text1"/>
          <w:kern w:val="0"/>
          <w:sz w:val="32"/>
          <w:szCs w:val="32"/>
        </w:rPr>
        <w:t>4A</w:t>
      </w:r>
      <w:r>
        <w:rPr>
          <w:rFonts w:eastAsia="仿宋_GB2312"/>
          <w:bCs/>
          <w:color w:val="000000" w:themeColor="text1"/>
          <w:kern w:val="0"/>
          <w:sz w:val="32"/>
          <w:szCs w:val="32"/>
        </w:rPr>
        <w:t>级旅游景区。全州</w:t>
      </w:r>
      <w:r>
        <w:rPr>
          <w:rFonts w:eastAsia="仿宋_GB2312"/>
          <w:bCs/>
          <w:color w:val="000000" w:themeColor="text1"/>
          <w:kern w:val="0"/>
          <w:sz w:val="32"/>
          <w:szCs w:val="32"/>
        </w:rPr>
        <w:t>A</w:t>
      </w:r>
      <w:r>
        <w:rPr>
          <w:rFonts w:eastAsia="仿宋_GB2312"/>
          <w:bCs/>
          <w:color w:val="000000" w:themeColor="text1"/>
          <w:kern w:val="0"/>
          <w:sz w:val="32"/>
          <w:szCs w:val="32"/>
        </w:rPr>
        <w:t>级景区达到</w:t>
      </w:r>
      <w:r>
        <w:rPr>
          <w:rFonts w:eastAsia="仿宋_GB2312"/>
          <w:bCs/>
          <w:color w:val="000000" w:themeColor="text1"/>
          <w:kern w:val="0"/>
          <w:sz w:val="32"/>
          <w:szCs w:val="32"/>
        </w:rPr>
        <w:t>32</w:t>
      </w:r>
      <w:r>
        <w:rPr>
          <w:rFonts w:eastAsia="仿宋_GB2312"/>
          <w:bCs/>
          <w:color w:val="000000" w:themeColor="text1"/>
          <w:kern w:val="0"/>
          <w:sz w:val="32"/>
          <w:szCs w:val="32"/>
        </w:rPr>
        <w:t>个，其中</w:t>
      </w:r>
      <w:r>
        <w:rPr>
          <w:rFonts w:eastAsia="仿宋_GB2312"/>
          <w:bCs/>
          <w:color w:val="000000" w:themeColor="text1"/>
          <w:kern w:val="0"/>
          <w:sz w:val="32"/>
          <w:szCs w:val="32"/>
        </w:rPr>
        <w:t>5A</w:t>
      </w:r>
      <w:r>
        <w:rPr>
          <w:rFonts w:eastAsia="仿宋_GB2312"/>
          <w:bCs/>
          <w:color w:val="000000" w:themeColor="text1"/>
          <w:kern w:val="0"/>
          <w:sz w:val="32"/>
          <w:szCs w:val="32"/>
        </w:rPr>
        <w:t>景区</w:t>
      </w:r>
      <w:r>
        <w:rPr>
          <w:rFonts w:eastAsia="仿宋_GB2312"/>
          <w:bCs/>
          <w:color w:val="000000" w:themeColor="text1"/>
          <w:kern w:val="0"/>
          <w:sz w:val="32"/>
          <w:szCs w:val="32"/>
        </w:rPr>
        <w:t>3</w:t>
      </w:r>
      <w:r>
        <w:rPr>
          <w:rFonts w:eastAsia="仿宋_GB2312"/>
          <w:bCs/>
          <w:color w:val="000000" w:themeColor="text1"/>
          <w:kern w:val="0"/>
          <w:sz w:val="32"/>
          <w:szCs w:val="32"/>
        </w:rPr>
        <w:t>个，</w:t>
      </w:r>
      <w:r>
        <w:rPr>
          <w:rFonts w:eastAsia="仿宋_GB2312"/>
          <w:bCs/>
          <w:color w:val="000000" w:themeColor="text1"/>
          <w:kern w:val="0"/>
          <w:sz w:val="32"/>
          <w:szCs w:val="32"/>
        </w:rPr>
        <w:t>4A</w:t>
      </w:r>
      <w:r>
        <w:rPr>
          <w:rFonts w:eastAsia="仿宋_GB2312"/>
          <w:bCs/>
          <w:color w:val="000000" w:themeColor="text1"/>
          <w:kern w:val="0"/>
          <w:sz w:val="32"/>
          <w:szCs w:val="32"/>
        </w:rPr>
        <w:t>景区</w:t>
      </w:r>
      <w:r>
        <w:rPr>
          <w:rFonts w:eastAsia="仿宋_GB2312"/>
          <w:bCs/>
          <w:color w:val="000000" w:themeColor="text1"/>
          <w:kern w:val="0"/>
          <w:sz w:val="32"/>
          <w:szCs w:val="32"/>
        </w:rPr>
        <w:t>17</w:t>
      </w:r>
      <w:r>
        <w:rPr>
          <w:rFonts w:eastAsia="仿宋_GB2312"/>
          <w:bCs/>
          <w:color w:val="000000" w:themeColor="text1"/>
          <w:kern w:val="0"/>
          <w:sz w:val="32"/>
          <w:szCs w:val="32"/>
        </w:rPr>
        <w:t>个。全年接待游客</w:t>
      </w:r>
      <w:r>
        <w:rPr>
          <w:rFonts w:eastAsia="仿宋_GB2312"/>
          <w:bCs/>
          <w:color w:val="000000" w:themeColor="text1"/>
          <w:kern w:val="0"/>
          <w:sz w:val="32"/>
          <w:szCs w:val="32"/>
        </w:rPr>
        <w:t>3499.2</w:t>
      </w:r>
      <w:r>
        <w:rPr>
          <w:rFonts w:eastAsia="仿宋_GB2312" w:hint="eastAsia"/>
          <w:bCs/>
          <w:color w:val="000000" w:themeColor="text1"/>
          <w:kern w:val="0"/>
          <w:sz w:val="32"/>
          <w:szCs w:val="32"/>
        </w:rPr>
        <w:t>4</w:t>
      </w:r>
      <w:r>
        <w:rPr>
          <w:rFonts w:eastAsia="仿宋_GB2312"/>
          <w:bCs/>
          <w:color w:val="000000" w:themeColor="text1"/>
          <w:kern w:val="0"/>
          <w:sz w:val="32"/>
          <w:szCs w:val="32"/>
        </w:rPr>
        <w:t>万人次，同比下降</w:t>
      </w:r>
      <w:r>
        <w:rPr>
          <w:rFonts w:eastAsia="仿宋_GB2312"/>
          <w:bCs/>
          <w:color w:val="000000" w:themeColor="text1"/>
          <w:kern w:val="0"/>
          <w:sz w:val="32"/>
          <w:szCs w:val="32"/>
        </w:rPr>
        <w:t>50.8%</w:t>
      </w:r>
      <w:r>
        <w:rPr>
          <w:rFonts w:eastAsia="仿宋_GB2312"/>
          <w:bCs/>
          <w:color w:val="000000" w:themeColor="text1"/>
          <w:kern w:val="0"/>
          <w:sz w:val="32"/>
          <w:szCs w:val="32"/>
        </w:rPr>
        <w:t>；旅游综合收入</w:t>
      </w:r>
      <w:r>
        <w:rPr>
          <w:rFonts w:eastAsia="仿宋_GB2312"/>
          <w:bCs/>
          <w:color w:val="000000" w:themeColor="text1"/>
          <w:kern w:val="0"/>
          <w:sz w:val="32"/>
          <w:szCs w:val="32"/>
        </w:rPr>
        <w:t>202.16</w:t>
      </w:r>
      <w:r>
        <w:rPr>
          <w:rFonts w:eastAsia="仿宋_GB2312"/>
          <w:bCs/>
          <w:color w:val="000000" w:themeColor="text1"/>
          <w:kern w:val="0"/>
          <w:sz w:val="32"/>
          <w:szCs w:val="32"/>
        </w:rPr>
        <w:t>亿元，下降</w:t>
      </w:r>
      <w:r>
        <w:rPr>
          <w:rFonts w:eastAsia="仿宋_GB2312"/>
          <w:bCs/>
          <w:color w:val="000000" w:themeColor="text1"/>
          <w:kern w:val="0"/>
          <w:sz w:val="32"/>
          <w:szCs w:val="32"/>
        </w:rPr>
        <w:t>61.9%</w:t>
      </w:r>
      <w:r>
        <w:rPr>
          <w:rFonts w:eastAsia="仿宋_GB2312"/>
          <w:bCs/>
          <w:color w:val="000000" w:themeColor="text1"/>
          <w:kern w:val="0"/>
          <w:sz w:val="32"/>
          <w:szCs w:val="32"/>
        </w:rPr>
        <w:t>。</w:t>
      </w:r>
    </w:p>
    <w:p w:rsidR="00EA6885" w:rsidRDefault="007E707F">
      <w:pPr>
        <w:widowControl w:val="0"/>
        <w:spacing w:line="560" w:lineRule="exact"/>
        <w:ind w:firstLine="616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年末全州文化和旅游系统有表演场所</w:t>
      </w:r>
      <w:r>
        <w:rPr>
          <w:rFonts w:eastAsia="仿宋_GB2312"/>
          <w:bCs/>
          <w:kern w:val="0"/>
          <w:sz w:val="32"/>
          <w:szCs w:val="32"/>
        </w:rPr>
        <w:t>5</w:t>
      </w:r>
      <w:r>
        <w:rPr>
          <w:rFonts w:eastAsia="仿宋_GB2312"/>
          <w:bCs/>
          <w:kern w:val="0"/>
          <w:sz w:val="32"/>
          <w:szCs w:val="32"/>
        </w:rPr>
        <w:t>个，艺术表演团体</w:t>
      </w:r>
      <w:r>
        <w:rPr>
          <w:rFonts w:eastAsia="仿宋_GB2312"/>
          <w:bCs/>
          <w:kern w:val="0"/>
          <w:sz w:val="32"/>
          <w:szCs w:val="32"/>
        </w:rPr>
        <w:t>9</w:t>
      </w:r>
      <w:r>
        <w:rPr>
          <w:rFonts w:eastAsia="仿宋_GB2312"/>
          <w:bCs/>
          <w:kern w:val="0"/>
          <w:sz w:val="32"/>
          <w:szCs w:val="32"/>
        </w:rPr>
        <w:t>个。公共图书馆</w:t>
      </w:r>
      <w:r>
        <w:rPr>
          <w:rFonts w:eastAsia="仿宋_GB2312"/>
          <w:bCs/>
          <w:kern w:val="0"/>
          <w:sz w:val="32"/>
          <w:szCs w:val="32"/>
        </w:rPr>
        <w:t>9</w:t>
      </w:r>
      <w:r>
        <w:rPr>
          <w:rFonts w:eastAsia="仿宋_GB2312"/>
          <w:bCs/>
          <w:kern w:val="0"/>
          <w:sz w:val="32"/>
          <w:szCs w:val="32"/>
        </w:rPr>
        <w:t>个，文化馆</w:t>
      </w:r>
      <w:r>
        <w:rPr>
          <w:rFonts w:eastAsia="仿宋_GB2312"/>
          <w:bCs/>
          <w:kern w:val="0"/>
          <w:sz w:val="32"/>
          <w:szCs w:val="32"/>
        </w:rPr>
        <w:t>9</w:t>
      </w:r>
      <w:r>
        <w:rPr>
          <w:rFonts w:eastAsia="仿宋_GB2312"/>
          <w:bCs/>
          <w:kern w:val="0"/>
          <w:sz w:val="32"/>
          <w:szCs w:val="32"/>
        </w:rPr>
        <w:t>个</w:t>
      </w:r>
      <w:r>
        <w:rPr>
          <w:rFonts w:eastAsia="仿宋_GB2312" w:hint="eastAsia"/>
          <w:bCs/>
          <w:kern w:val="0"/>
          <w:sz w:val="32"/>
          <w:szCs w:val="32"/>
        </w:rPr>
        <w:t>，博物馆</w:t>
      </w:r>
      <w:r>
        <w:rPr>
          <w:rFonts w:eastAsia="仿宋_GB2312" w:hint="eastAsia"/>
          <w:bCs/>
          <w:kern w:val="0"/>
          <w:sz w:val="32"/>
          <w:szCs w:val="32"/>
        </w:rPr>
        <w:t>8</w:t>
      </w:r>
      <w:r>
        <w:rPr>
          <w:rFonts w:eastAsia="仿宋_GB2312" w:hint="eastAsia"/>
          <w:bCs/>
          <w:kern w:val="0"/>
          <w:sz w:val="32"/>
          <w:szCs w:val="32"/>
        </w:rPr>
        <w:t>个</w:t>
      </w:r>
      <w:r>
        <w:rPr>
          <w:rFonts w:eastAsia="仿宋_GB2312"/>
          <w:bCs/>
          <w:kern w:val="0"/>
          <w:sz w:val="32"/>
          <w:szCs w:val="32"/>
        </w:rPr>
        <w:t>。年末广播节目综合人口覆盖率为</w:t>
      </w:r>
      <w:r>
        <w:rPr>
          <w:rFonts w:eastAsia="仿宋_GB2312"/>
          <w:bCs/>
          <w:kern w:val="0"/>
          <w:sz w:val="32"/>
          <w:szCs w:val="32"/>
        </w:rPr>
        <w:t>99.93%</w:t>
      </w:r>
      <w:r>
        <w:rPr>
          <w:rFonts w:eastAsia="仿宋_GB2312"/>
          <w:bCs/>
          <w:kern w:val="0"/>
          <w:sz w:val="32"/>
          <w:szCs w:val="32"/>
        </w:rPr>
        <w:t>，电视节目综合人口覆盖率为</w:t>
      </w:r>
      <w:r>
        <w:rPr>
          <w:rFonts w:eastAsia="仿宋_GB2312"/>
          <w:bCs/>
          <w:kern w:val="0"/>
          <w:sz w:val="32"/>
          <w:szCs w:val="32"/>
        </w:rPr>
        <w:t>99.88%</w:t>
      </w:r>
      <w:r>
        <w:rPr>
          <w:rFonts w:eastAsia="仿宋_GB2312"/>
          <w:bCs/>
          <w:kern w:val="0"/>
          <w:sz w:val="32"/>
          <w:szCs w:val="32"/>
        </w:rPr>
        <w:t>。全年规模以上文化及相关产业企业营业收入</w:t>
      </w:r>
      <w:r>
        <w:rPr>
          <w:rFonts w:eastAsia="仿宋_GB2312"/>
          <w:bCs/>
          <w:kern w:val="0"/>
          <w:sz w:val="32"/>
          <w:szCs w:val="32"/>
        </w:rPr>
        <w:t xml:space="preserve"> 17.66</w:t>
      </w:r>
      <w:r>
        <w:rPr>
          <w:rFonts w:eastAsia="仿宋_GB2312"/>
          <w:bCs/>
          <w:kern w:val="0"/>
          <w:sz w:val="32"/>
          <w:szCs w:val="32"/>
        </w:rPr>
        <w:t>亿元。</w:t>
      </w:r>
    </w:p>
    <w:p w:rsidR="00EA6885" w:rsidRDefault="007E707F">
      <w:pPr>
        <w:spacing w:line="560" w:lineRule="exact"/>
        <w:ind w:firstLine="61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全州人均体育场地面积达到</w:t>
      </w:r>
      <w:r>
        <w:rPr>
          <w:rFonts w:eastAsia="仿宋_GB2312"/>
          <w:sz w:val="32"/>
          <w:szCs w:val="32"/>
        </w:rPr>
        <w:t>1.35</w:t>
      </w:r>
      <w:r>
        <w:rPr>
          <w:rFonts w:eastAsia="仿宋_GB2312"/>
          <w:sz w:val="32"/>
          <w:szCs w:val="32"/>
        </w:rPr>
        <w:t>平方米，县市城区</w:t>
      </w:r>
      <w:r>
        <w:rPr>
          <w:rFonts w:eastAsia="仿宋_GB2312"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分钟健身圈基本建成。宣恩水运会晋级国家级赛事，湖北省第二届冰雪大会落户绿葱坡滑雪场，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一县一品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国家级精品赛事持续举办。</w:t>
      </w:r>
      <w:r>
        <w:rPr>
          <w:rFonts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年湖北青少年锦标赛获得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金、</w:t>
      </w:r>
      <w:r>
        <w:rPr>
          <w:rFonts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银、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铜的成绩。</w:t>
      </w:r>
    </w:p>
    <w:p w:rsidR="00EA6885" w:rsidRDefault="007E707F">
      <w:pPr>
        <w:spacing w:line="560" w:lineRule="exact"/>
        <w:ind w:firstLine="61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全州各级医疗卫生机构</w:t>
      </w:r>
      <w:r>
        <w:rPr>
          <w:rFonts w:eastAsia="仿宋_GB2312"/>
          <w:sz w:val="32"/>
          <w:szCs w:val="32"/>
        </w:rPr>
        <w:t>2966</w:t>
      </w:r>
      <w:r>
        <w:rPr>
          <w:rFonts w:eastAsia="仿宋_GB2312"/>
          <w:sz w:val="32"/>
          <w:szCs w:val="32"/>
        </w:rPr>
        <w:t>个，其中医院</w:t>
      </w:r>
      <w:r>
        <w:rPr>
          <w:rFonts w:eastAsia="仿宋_GB2312"/>
          <w:sz w:val="32"/>
          <w:szCs w:val="32"/>
        </w:rPr>
        <w:t>60</w:t>
      </w:r>
      <w:r>
        <w:rPr>
          <w:rFonts w:eastAsia="仿宋_GB2312"/>
          <w:sz w:val="32"/>
          <w:szCs w:val="32"/>
        </w:rPr>
        <w:t>个，基层医疗卫生机构</w:t>
      </w:r>
      <w:r>
        <w:rPr>
          <w:rFonts w:eastAsia="仿宋_GB2312"/>
          <w:sz w:val="32"/>
          <w:szCs w:val="32"/>
        </w:rPr>
        <w:t>2871</w:t>
      </w:r>
      <w:r>
        <w:rPr>
          <w:rFonts w:eastAsia="仿宋_GB2312"/>
          <w:sz w:val="32"/>
          <w:szCs w:val="32"/>
        </w:rPr>
        <w:t>个，专业公共卫生机构</w:t>
      </w:r>
      <w:r>
        <w:rPr>
          <w:rFonts w:eastAsia="仿宋_GB2312"/>
          <w:sz w:val="32"/>
          <w:szCs w:val="32"/>
        </w:rPr>
        <w:t>29</w:t>
      </w:r>
      <w:r>
        <w:rPr>
          <w:rFonts w:eastAsia="仿宋_GB2312"/>
          <w:sz w:val="32"/>
          <w:szCs w:val="32"/>
        </w:rPr>
        <w:t>个。卫生技术人员</w:t>
      </w:r>
      <w:r>
        <w:rPr>
          <w:rFonts w:eastAsia="仿宋_GB2312"/>
          <w:sz w:val="32"/>
          <w:szCs w:val="32"/>
        </w:rPr>
        <w:t>2.49</w:t>
      </w:r>
      <w:r>
        <w:rPr>
          <w:rFonts w:eastAsia="仿宋_GB2312"/>
          <w:sz w:val="32"/>
          <w:szCs w:val="32"/>
        </w:rPr>
        <w:t>万人，其中执业（助理）医师</w:t>
      </w:r>
      <w:r>
        <w:rPr>
          <w:rFonts w:eastAsia="仿宋_GB2312"/>
          <w:sz w:val="32"/>
          <w:szCs w:val="32"/>
        </w:rPr>
        <w:t>0.93</w:t>
      </w:r>
      <w:r>
        <w:rPr>
          <w:rFonts w:eastAsia="仿宋_GB2312"/>
          <w:sz w:val="32"/>
          <w:szCs w:val="32"/>
        </w:rPr>
        <w:t>万人，注册护士</w:t>
      </w:r>
      <w:r>
        <w:rPr>
          <w:rFonts w:eastAsia="仿宋_GB2312"/>
          <w:sz w:val="32"/>
          <w:szCs w:val="32"/>
        </w:rPr>
        <w:t>1.20</w:t>
      </w:r>
      <w:r>
        <w:rPr>
          <w:rFonts w:eastAsia="仿宋_GB2312"/>
          <w:sz w:val="32"/>
          <w:szCs w:val="32"/>
        </w:rPr>
        <w:t>万人。实有床位数</w:t>
      </w:r>
      <w:r>
        <w:rPr>
          <w:rFonts w:eastAsia="仿宋_GB2312"/>
          <w:sz w:val="32"/>
          <w:szCs w:val="32"/>
        </w:rPr>
        <w:t>2.67</w:t>
      </w:r>
      <w:r>
        <w:rPr>
          <w:rFonts w:eastAsia="仿宋_GB2312"/>
          <w:sz w:val="32"/>
          <w:szCs w:val="32"/>
        </w:rPr>
        <w:t>万张，其中医院</w:t>
      </w:r>
      <w:r>
        <w:rPr>
          <w:rFonts w:eastAsia="仿宋_GB2312"/>
          <w:sz w:val="32"/>
          <w:szCs w:val="32"/>
        </w:rPr>
        <w:t>1.73</w:t>
      </w:r>
      <w:r>
        <w:rPr>
          <w:rFonts w:eastAsia="仿宋_GB2312"/>
          <w:sz w:val="32"/>
          <w:szCs w:val="32"/>
        </w:rPr>
        <w:t>万张，基层医疗卫生机构</w:t>
      </w:r>
      <w:r>
        <w:rPr>
          <w:rFonts w:eastAsia="仿宋_GB2312"/>
          <w:sz w:val="32"/>
          <w:szCs w:val="32"/>
        </w:rPr>
        <w:t>0.86</w:t>
      </w:r>
      <w:r>
        <w:rPr>
          <w:rFonts w:eastAsia="仿宋_GB2312"/>
          <w:sz w:val="32"/>
          <w:szCs w:val="32"/>
        </w:rPr>
        <w:t>万张，专业公共卫生机构</w:t>
      </w:r>
      <w:r>
        <w:rPr>
          <w:rFonts w:eastAsia="仿宋_GB2312"/>
          <w:sz w:val="32"/>
          <w:szCs w:val="32"/>
        </w:rPr>
        <w:t>0.07</w:t>
      </w:r>
      <w:r>
        <w:rPr>
          <w:rFonts w:eastAsia="仿宋_GB2312"/>
          <w:sz w:val="32"/>
          <w:szCs w:val="32"/>
        </w:rPr>
        <w:t>万张。</w:t>
      </w:r>
    </w:p>
    <w:p w:rsidR="00EA6885" w:rsidRDefault="007E707F">
      <w:pPr>
        <w:widowControl w:val="0"/>
        <w:spacing w:line="560" w:lineRule="exact"/>
        <w:ind w:firstLine="616"/>
        <w:outlineLvl w:val="0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十一、人民生活和社会保障</w:t>
      </w:r>
    </w:p>
    <w:p w:rsidR="00EA6885" w:rsidRDefault="007E707F">
      <w:pPr>
        <w:widowControl w:val="0"/>
        <w:spacing w:line="560" w:lineRule="exact"/>
        <w:ind w:firstLine="61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lastRenderedPageBreak/>
        <w:t>全年农村常住居民人均可支配收入</w:t>
      </w:r>
      <w:r>
        <w:rPr>
          <w:rFonts w:eastAsia="仿宋_GB2312"/>
          <w:kern w:val="0"/>
          <w:sz w:val="32"/>
          <w:szCs w:val="32"/>
        </w:rPr>
        <w:t>11887</w:t>
      </w:r>
      <w:r>
        <w:rPr>
          <w:rFonts w:eastAsia="仿宋_GB2312"/>
          <w:kern w:val="0"/>
          <w:sz w:val="32"/>
          <w:szCs w:val="32"/>
        </w:rPr>
        <w:t>元，比上年增长</w:t>
      </w:r>
      <w:r>
        <w:rPr>
          <w:rFonts w:eastAsia="仿宋_GB2312"/>
          <w:kern w:val="0"/>
          <w:sz w:val="32"/>
          <w:szCs w:val="32"/>
        </w:rPr>
        <w:t>2.3%</w:t>
      </w:r>
      <w:r>
        <w:rPr>
          <w:rFonts w:eastAsia="仿宋_GB2312"/>
          <w:kern w:val="0"/>
          <w:sz w:val="32"/>
          <w:szCs w:val="32"/>
        </w:rPr>
        <w:t>，人均生活消费支出</w:t>
      </w:r>
      <w:r>
        <w:rPr>
          <w:rFonts w:eastAsia="仿宋_GB2312"/>
          <w:kern w:val="0"/>
          <w:sz w:val="32"/>
          <w:szCs w:val="32"/>
        </w:rPr>
        <w:t>10061</w:t>
      </w:r>
      <w:r>
        <w:rPr>
          <w:rFonts w:eastAsia="仿宋_GB2312"/>
          <w:kern w:val="0"/>
          <w:sz w:val="32"/>
          <w:szCs w:val="32"/>
        </w:rPr>
        <w:t>元，增长</w:t>
      </w:r>
      <w:r>
        <w:rPr>
          <w:rFonts w:eastAsia="仿宋_GB2312"/>
          <w:kern w:val="0"/>
          <w:sz w:val="32"/>
          <w:szCs w:val="32"/>
        </w:rPr>
        <w:t>1.8%</w:t>
      </w:r>
      <w:r>
        <w:rPr>
          <w:rFonts w:eastAsia="仿宋_GB2312"/>
          <w:kern w:val="0"/>
          <w:sz w:val="32"/>
          <w:szCs w:val="32"/>
        </w:rPr>
        <w:t>。城镇常住居民人均可支配收入</w:t>
      </w:r>
      <w:r>
        <w:rPr>
          <w:rFonts w:eastAsia="仿宋_GB2312"/>
          <w:kern w:val="0"/>
          <w:sz w:val="32"/>
          <w:szCs w:val="32"/>
        </w:rPr>
        <w:t>30930</w:t>
      </w:r>
      <w:r>
        <w:rPr>
          <w:rFonts w:eastAsia="仿宋_GB2312"/>
          <w:kern w:val="0"/>
          <w:sz w:val="32"/>
          <w:szCs w:val="32"/>
        </w:rPr>
        <w:t>元，下降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 w:hint="eastAsia"/>
          <w:kern w:val="0"/>
          <w:sz w:val="32"/>
          <w:szCs w:val="32"/>
        </w:rPr>
        <w:t>.0</w:t>
      </w:r>
      <w:r>
        <w:rPr>
          <w:rFonts w:eastAsia="仿宋_GB2312"/>
          <w:kern w:val="0"/>
          <w:sz w:val="32"/>
          <w:szCs w:val="32"/>
        </w:rPr>
        <w:t>%</w:t>
      </w:r>
      <w:r>
        <w:rPr>
          <w:rFonts w:eastAsia="仿宋_GB2312"/>
          <w:kern w:val="0"/>
          <w:sz w:val="32"/>
          <w:szCs w:val="32"/>
        </w:rPr>
        <w:t>，人均生活</w:t>
      </w:r>
      <w:r>
        <w:rPr>
          <w:rFonts w:eastAsia="仿宋_GB2312"/>
          <w:kern w:val="0"/>
          <w:sz w:val="32"/>
          <w:szCs w:val="32"/>
        </w:rPr>
        <w:t>消费支出</w:t>
      </w:r>
      <w:r>
        <w:rPr>
          <w:rFonts w:eastAsia="仿宋_GB2312"/>
          <w:kern w:val="0"/>
          <w:sz w:val="32"/>
          <w:szCs w:val="32"/>
        </w:rPr>
        <w:t>21898</w:t>
      </w:r>
      <w:r>
        <w:rPr>
          <w:rFonts w:eastAsia="仿宋_GB2312"/>
          <w:kern w:val="0"/>
          <w:sz w:val="32"/>
          <w:szCs w:val="32"/>
        </w:rPr>
        <w:t>元，下降</w:t>
      </w:r>
      <w:r>
        <w:rPr>
          <w:rFonts w:eastAsia="仿宋_GB2312"/>
          <w:kern w:val="0"/>
          <w:sz w:val="32"/>
          <w:szCs w:val="32"/>
        </w:rPr>
        <w:t>5.8%</w:t>
      </w:r>
      <w:r>
        <w:rPr>
          <w:rFonts w:eastAsia="仿宋_GB2312"/>
          <w:kern w:val="0"/>
          <w:sz w:val="32"/>
          <w:szCs w:val="32"/>
        </w:rPr>
        <w:t>。</w:t>
      </w:r>
    </w:p>
    <w:p w:rsidR="00EA6885" w:rsidRDefault="007E707F">
      <w:pPr>
        <w:widowControl w:val="0"/>
        <w:spacing w:line="560" w:lineRule="exact"/>
        <w:ind w:firstLine="61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年末全州共有各类提供住宿的社会服务机构</w:t>
      </w:r>
      <w:r>
        <w:rPr>
          <w:rFonts w:eastAsia="仿宋_GB2312"/>
          <w:kern w:val="0"/>
          <w:sz w:val="32"/>
          <w:szCs w:val="32"/>
        </w:rPr>
        <w:t>126</w:t>
      </w:r>
      <w:r>
        <w:rPr>
          <w:rFonts w:eastAsia="仿宋_GB2312"/>
          <w:kern w:val="0"/>
          <w:sz w:val="32"/>
          <w:szCs w:val="32"/>
        </w:rPr>
        <w:t>个，社会服务床位</w:t>
      </w:r>
      <w:r>
        <w:rPr>
          <w:rFonts w:eastAsia="仿宋_GB2312"/>
          <w:kern w:val="0"/>
          <w:sz w:val="32"/>
          <w:szCs w:val="32"/>
        </w:rPr>
        <w:t>1.58</w:t>
      </w:r>
      <w:r>
        <w:rPr>
          <w:rFonts w:eastAsia="仿宋_GB2312"/>
          <w:kern w:val="0"/>
          <w:sz w:val="32"/>
          <w:szCs w:val="32"/>
        </w:rPr>
        <w:t>万张，其中养老服务床位</w:t>
      </w:r>
      <w:r>
        <w:rPr>
          <w:rFonts w:eastAsia="仿宋_GB2312"/>
          <w:kern w:val="0"/>
          <w:sz w:val="32"/>
          <w:szCs w:val="32"/>
        </w:rPr>
        <w:t>1.55</w:t>
      </w:r>
      <w:r>
        <w:rPr>
          <w:rFonts w:eastAsia="仿宋_GB2312"/>
          <w:kern w:val="0"/>
          <w:sz w:val="32"/>
          <w:szCs w:val="32"/>
        </w:rPr>
        <w:t>万张，儿童服务床位</w:t>
      </w:r>
      <w:r>
        <w:rPr>
          <w:rFonts w:eastAsia="仿宋_GB2312"/>
          <w:kern w:val="0"/>
          <w:sz w:val="32"/>
          <w:szCs w:val="32"/>
        </w:rPr>
        <w:t>120</w:t>
      </w:r>
      <w:r>
        <w:rPr>
          <w:rFonts w:eastAsia="仿宋_GB2312"/>
          <w:kern w:val="0"/>
          <w:sz w:val="32"/>
          <w:szCs w:val="32"/>
        </w:rPr>
        <w:t>张。城市</w:t>
      </w:r>
      <w:proofErr w:type="gramStart"/>
      <w:r>
        <w:rPr>
          <w:rFonts w:eastAsia="仿宋_GB2312"/>
          <w:kern w:val="0"/>
          <w:sz w:val="32"/>
          <w:szCs w:val="32"/>
        </w:rPr>
        <w:t>低保标准</w:t>
      </w:r>
      <w:proofErr w:type="gramEnd"/>
      <w:r>
        <w:rPr>
          <w:rFonts w:eastAsia="仿宋_GB2312"/>
          <w:kern w:val="0"/>
          <w:sz w:val="32"/>
          <w:szCs w:val="32"/>
        </w:rPr>
        <w:t>由</w:t>
      </w:r>
      <w:r>
        <w:rPr>
          <w:rFonts w:eastAsia="仿宋_GB2312" w:hint="eastAsia"/>
          <w:kern w:val="0"/>
          <w:sz w:val="32"/>
          <w:szCs w:val="32"/>
        </w:rPr>
        <w:t>6</w:t>
      </w:r>
      <w:r>
        <w:rPr>
          <w:rFonts w:eastAsia="仿宋_GB2312"/>
          <w:kern w:val="0"/>
          <w:sz w:val="32"/>
          <w:szCs w:val="32"/>
        </w:rPr>
        <w:t>00</w:t>
      </w:r>
      <w:r>
        <w:rPr>
          <w:rFonts w:eastAsia="仿宋_GB2312" w:hint="eastAsia"/>
          <w:kern w:val="0"/>
          <w:sz w:val="32"/>
          <w:szCs w:val="32"/>
        </w:rPr>
        <w:t>元</w:t>
      </w:r>
      <w:r>
        <w:rPr>
          <w:rFonts w:eastAsia="仿宋_GB2312" w:hint="eastAsia"/>
          <w:kern w:val="0"/>
          <w:sz w:val="32"/>
          <w:szCs w:val="32"/>
        </w:rPr>
        <w:t>/</w:t>
      </w:r>
      <w:r>
        <w:rPr>
          <w:rFonts w:eastAsia="仿宋_GB2312" w:hint="eastAsia"/>
          <w:kern w:val="0"/>
          <w:sz w:val="32"/>
          <w:szCs w:val="32"/>
        </w:rPr>
        <w:t>人·</w:t>
      </w:r>
      <w:proofErr w:type="gramStart"/>
      <w:r>
        <w:rPr>
          <w:rFonts w:eastAsia="仿宋_GB2312" w:hint="eastAsia"/>
          <w:kern w:val="0"/>
          <w:sz w:val="32"/>
          <w:szCs w:val="32"/>
        </w:rPr>
        <w:t>月提高</w:t>
      </w:r>
      <w:proofErr w:type="gramEnd"/>
      <w:r>
        <w:rPr>
          <w:rFonts w:eastAsia="仿宋_GB2312" w:hint="eastAsia"/>
          <w:kern w:val="0"/>
          <w:sz w:val="32"/>
          <w:szCs w:val="32"/>
        </w:rPr>
        <w:t>到</w:t>
      </w:r>
      <w:r>
        <w:rPr>
          <w:rFonts w:eastAsia="仿宋_GB2312" w:hint="eastAsia"/>
          <w:kern w:val="0"/>
          <w:sz w:val="32"/>
          <w:szCs w:val="32"/>
        </w:rPr>
        <w:t>6</w:t>
      </w:r>
      <w:r>
        <w:rPr>
          <w:rFonts w:eastAsia="仿宋_GB2312"/>
          <w:kern w:val="0"/>
          <w:sz w:val="32"/>
          <w:szCs w:val="32"/>
        </w:rPr>
        <w:t>35</w:t>
      </w:r>
      <w:r>
        <w:rPr>
          <w:rFonts w:eastAsia="仿宋_GB2312"/>
          <w:kern w:val="0"/>
          <w:sz w:val="32"/>
          <w:szCs w:val="32"/>
        </w:rPr>
        <w:t>元</w:t>
      </w:r>
      <w:r>
        <w:rPr>
          <w:rFonts w:eastAsia="仿宋_GB2312" w:hint="eastAsia"/>
          <w:kern w:val="0"/>
          <w:sz w:val="32"/>
          <w:szCs w:val="32"/>
        </w:rPr>
        <w:t>/</w:t>
      </w:r>
      <w:r>
        <w:rPr>
          <w:rFonts w:eastAsia="仿宋_GB2312" w:hint="eastAsia"/>
          <w:kern w:val="0"/>
          <w:sz w:val="32"/>
          <w:szCs w:val="32"/>
        </w:rPr>
        <w:t>人·月，</w:t>
      </w:r>
    </w:p>
    <w:p w:rsidR="00EA6885" w:rsidRDefault="007E707F">
      <w:pPr>
        <w:pStyle w:val="1"/>
        <w:spacing w:before="0" w:line="560" w:lineRule="exact"/>
        <w:ind w:firstLineChars="0" w:firstLine="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农村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低保标准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为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4380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元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/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人·年。城市特困人员供养标准由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1200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元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/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人·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月提高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到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1270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元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/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人·月，农村特困人员供养标准由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7920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元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/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人·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年提高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到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8760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元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/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人·年。全年</w:t>
      </w:r>
      <w:r>
        <w:rPr>
          <w:rFonts w:ascii="Times New Roman" w:eastAsia="仿宋_GB2312" w:hAnsi="Times New Roman"/>
          <w:kern w:val="0"/>
          <w:sz w:val="32"/>
          <w:szCs w:val="32"/>
        </w:rPr>
        <w:t>共有</w:t>
      </w:r>
      <w:r>
        <w:rPr>
          <w:rFonts w:ascii="Times New Roman" w:eastAsia="仿宋_GB2312" w:hAnsi="Times New Roman"/>
          <w:kern w:val="0"/>
          <w:sz w:val="32"/>
          <w:szCs w:val="32"/>
        </w:rPr>
        <w:t>0.83</w:t>
      </w:r>
      <w:r>
        <w:rPr>
          <w:rFonts w:ascii="Times New Roman" w:eastAsia="仿宋_GB2312" w:hAnsi="Times New Roman"/>
          <w:kern w:val="0"/>
          <w:sz w:val="32"/>
          <w:szCs w:val="32"/>
        </w:rPr>
        <w:t>万人享受城市最低生活保障，</w:t>
      </w:r>
      <w:r>
        <w:rPr>
          <w:rFonts w:ascii="Times New Roman" w:eastAsia="仿宋_GB2312" w:hAnsi="Times New Roman"/>
          <w:kern w:val="0"/>
          <w:sz w:val="32"/>
          <w:szCs w:val="32"/>
        </w:rPr>
        <w:t>23.52</w:t>
      </w:r>
      <w:r>
        <w:rPr>
          <w:rFonts w:ascii="Times New Roman" w:eastAsia="仿宋_GB2312" w:hAnsi="Times New Roman"/>
          <w:kern w:val="0"/>
          <w:sz w:val="32"/>
          <w:szCs w:val="32"/>
        </w:rPr>
        <w:t>万人享受农村最低生活保障，</w:t>
      </w:r>
      <w:r>
        <w:rPr>
          <w:rFonts w:ascii="Times New Roman" w:eastAsia="仿宋_GB2312" w:hAnsi="Times New Roman"/>
          <w:kern w:val="0"/>
          <w:sz w:val="32"/>
          <w:szCs w:val="32"/>
        </w:rPr>
        <w:t>1.73</w:t>
      </w:r>
      <w:r>
        <w:rPr>
          <w:rFonts w:ascii="Times New Roman" w:eastAsia="仿宋_GB2312" w:hAnsi="Times New Roman"/>
          <w:kern w:val="0"/>
          <w:sz w:val="32"/>
          <w:szCs w:val="32"/>
        </w:rPr>
        <w:t>万人享受农村特困人员救助。</w:t>
      </w:r>
    </w:p>
    <w:p w:rsidR="00EA6885" w:rsidRDefault="007E707F">
      <w:pPr>
        <w:widowControl w:val="0"/>
        <w:spacing w:line="560" w:lineRule="exact"/>
        <w:ind w:firstLine="61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年末全州企业</w:t>
      </w:r>
      <w:r>
        <w:rPr>
          <w:rFonts w:eastAsia="仿宋_GB2312" w:hint="eastAsia"/>
          <w:kern w:val="0"/>
          <w:sz w:val="32"/>
          <w:szCs w:val="32"/>
        </w:rPr>
        <w:t>职工基本养老保险</w:t>
      </w:r>
      <w:r>
        <w:rPr>
          <w:rFonts w:eastAsia="仿宋_GB2312"/>
          <w:kern w:val="0"/>
          <w:sz w:val="32"/>
          <w:szCs w:val="32"/>
        </w:rPr>
        <w:t>参保人数</w:t>
      </w:r>
      <w:r>
        <w:rPr>
          <w:rFonts w:eastAsia="仿宋_GB2312"/>
          <w:kern w:val="0"/>
          <w:sz w:val="32"/>
          <w:szCs w:val="32"/>
        </w:rPr>
        <w:t>44.62</w:t>
      </w:r>
      <w:r>
        <w:rPr>
          <w:rFonts w:eastAsia="仿宋_GB2312"/>
          <w:kern w:val="0"/>
          <w:sz w:val="32"/>
          <w:szCs w:val="32"/>
        </w:rPr>
        <w:t>万人，机关事业</w:t>
      </w:r>
      <w:r>
        <w:rPr>
          <w:rFonts w:eastAsia="仿宋_GB2312" w:hint="eastAsia"/>
          <w:kern w:val="0"/>
          <w:sz w:val="32"/>
          <w:szCs w:val="32"/>
        </w:rPr>
        <w:t>基本养老保险参保人数</w:t>
      </w:r>
      <w:r>
        <w:rPr>
          <w:rFonts w:eastAsia="仿宋_GB2312"/>
          <w:kern w:val="0"/>
          <w:sz w:val="32"/>
          <w:szCs w:val="32"/>
        </w:rPr>
        <w:t>12.57</w:t>
      </w:r>
      <w:r>
        <w:rPr>
          <w:rFonts w:eastAsia="仿宋_GB2312"/>
          <w:kern w:val="0"/>
          <w:sz w:val="32"/>
          <w:szCs w:val="32"/>
        </w:rPr>
        <w:t>万人</w:t>
      </w:r>
      <w:r>
        <w:rPr>
          <w:rFonts w:eastAsia="仿宋_GB2312" w:hint="eastAsia"/>
          <w:kern w:val="0"/>
          <w:sz w:val="32"/>
          <w:szCs w:val="32"/>
        </w:rPr>
        <w:t>。</w:t>
      </w:r>
      <w:r>
        <w:rPr>
          <w:rFonts w:eastAsia="仿宋_GB2312"/>
          <w:kern w:val="0"/>
          <w:sz w:val="32"/>
          <w:szCs w:val="32"/>
        </w:rPr>
        <w:t>城乡居民社会养老保险参保人数</w:t>
      </w:r>
      <w:r>
        <w:rPr>
          <w:rFonts w:eastAsia="仿宋_GB2312"/>
          <w:kern w:val="0"/>
          <w:sz w:val="32"/>
          <w:szCs w:val="32"/>
        </w:rPr>
        <w:t>212</w:t>
      </w:r>
      <w:r>
        <w:rPr>
          <w:rFonts w:eastAsia="仿宋_GB2312"/>
          <w:kern w:val="0"/>
          <w:sz w:val="32"/>
          <w:szCs w:val="32"/>
        </w:rPr>
        <w:t>万人，其中农村居民参保人数</w:t>
      </w:r>
      <w:r>
        <w:rPr>
          <w:rFonts w:eastAsia="仿宋_GB2312"/>
          <w:kern w:val="0"/>
          <w:sz w:val="32"/>
          <w:szCs w:val="32"/>
        </w:rPr>
        <w:t>208.71</w:t>
      </w:r>
      <w:r>
        <w:rPr>
          <w:rFonts w:eastAsia="仿宋_GB2312"/>
          <w:kern w:val="0"/>
          <w:sz w:val="32"/>
          <w:szCs w:val="32"/>
        </w:rPr>
        <w:t>万人</w:t>
      </w:r>
      <w:r>
        <w:rPr>
          <w:rFonts w:eastAsia="仿宋_GB2312" w:hint="eastAsia"/>
          <w:kern w:val="0"/>
          <w:sz w:val="32"/>
          <w:szCs w:val="32"/>
        </w:rPr>
        <w:t>。</w:t>
      </w:r>
      <w:r>
        <w:rPr>
          <w:rFonts w:eastAsia="仿宋_GB2312"/>
          <w:kern w:val="0"/>
          <w:sz w:val="32"/>
          <w:szCs w:val="32"/>
        </w:rPr>
        <w:t>工伤保险参保人数</w:t>
      </w:r>
      <w:r>
        <w:rPr>
          <w:rFonts w:eastAsia="仿宋_GB2312"/>
          <w:kern w:val="0"/>
          <w:sz w:val="32"/>
          <w:szCs w:val="32"/>
        </w:rPr>
        <w:t>23.95</w:t>
      </w:r>
      <w:r>
        <w:rPr>
          <w:rFonts w:eastAsia="仿宋_GB2312"/>
          <w:kern w:val="0"/>
          <w:sz w:val="32"/>
          <w:szCs w:val="32"/>
        </w:rPr>
        <w:t>万人，其中农民工参保</w:t>
      </w:r>
      <w:r>
        <w:rPr>
          <w:rFonts w:eastAsia="仿宋_GB2312"/>
          <w:kern w:val="0"/>
          <w:sz w:val="32"/>
          <w:szCs w:val="32"/>
        </w:rPr>
        <w:t>3.68</w:t>
      </w:r>
      <w:r>
        <w:rPr>
          <w:rFonts w:eastAsia="仿宋_GB2312"/>
          <w:kern w:val="0"/>
          <w:sz w:val="32"/>
          <w:szCs w:val="32"/>
        </w:rPr>
        <w:t>万人</w:t>
      </w:r>
      <w:r>
        <w:rPr>
          <w:rFonts w:eastAsia="仿宋_GB2312" w:hint="eastAsia"/>
          <w:kern w:val="0"/>
          <w:sz w:val="32"/>
          <w:szCs w:val="32"/>
        </w:rPr>
        <w:t>。</w:t>
      </w:r>
      <w:r>
        <w:rPr>
          <w:rFonts w:eastAsia="仿宋_GB2312"/>
          <w:kern w:val="0"/>
          <w:sz w:val="32"/>
          <w:szCs w:val="32"/>
        </w:rPr>
        <w:t>失业保险参保人数</w:t>
      </w:r>
      <w:r>
        <w:rPr>
          <w:rFonts w:eastAsia="仿宋_GB2312"/>
          <w:kern w:val="0"/>
          <w:sz w:val="32"/>
          <w:szCs w:val="32"/>
        </w:rPr>
        <w:t>17.41</w:t>
      </w:r>
      <w:r>
        <w:rPr>
          <w:rFonts w:eastAsia="仿宋_GB2312"/>
          <w:kern w:val="0"/>
          <w:sz w:val="32"/>
          <w:szCs w:val="32"/>
        </w:rPr>
        <w:t>万人</w:t>
      </w:r>
      <w:r>
        <w:rPr>
          <w:rFonts w:eastAsia="仿宋_GB2312" w:hint="eastAsia"/>
          <w:kern w:val="0"/>
          <w:sz w:val="32"/>
          <w:szCs w:val="32"/>
        </w:rPr>
        <w:t>。</w:t>
      </w:r>
      <w:r>
        <w:rPr>
          <w:rFonts w:eastAsia="仿宋_GB2312"/>
          <w:kern w:val="0"/>
          <w:sz w:val="32"/>
          <w:szCs w:val="32"/>
        </w:rPr>
        <w:t>城乡居民基本医疗保险参保人数</w:t>
      </w:r>
      <w:r>
        <w:rPr>
          <w:rFonts w:eastAsia="仿宋_GB2312"/>
          <w:kern w:val="0"/>
          <w:sz w:val="32"/>
          <w:szCs w:val="32"/>
        </w:rPr>
        <w:t>340.65</w:t>
      </w:r>
      <w:r>
        <w:rPr>
          <w:rFonts w:eastAsia="仿宋_GB2312"/>
          <w:kern w:val="0"/>
          <w:sz w:val="32"/>
          <w:szCs w:val="32"/>
        </w:rPr>
        <w:t>万人，城镇职工基本医疗保险参保人数</w:t>
      </w:r>
      <w:r>
        <w:rPr>
          <w:rFonts w:eastAsia="仿宋_GB2312"/>
          <w:kern w:val="0"/>
          <w:sz w:val="32"/>
          <w:szCs w:val="32"/>
        </w:rPr>
        <w:t>33.57</w:t>
      </w:r>
      <w:r>
        <w:rPr>
          <w:rFonts w:eastAsia="仿宋_GB2312"/>
          <w:kern w:val="0"/>
          <w:sz w:val="32"/>
          <w:szCs w:val="32"/>
        </w:rPr>
        <w:t>万人。全年抚恤、补助退役军人和其他优抚对象</w:t>
      </w:r>
      <w:r>
        <w:rPr>
          <w:rFonts w:eastAsia="仿宋_GB2312"/>
          <w:kern w:val="0"/>
          <w:sz w:val="32"/>
          <w:szCs w:val="32"/>
        </w:rPr>
        <w:t>2.49</w:t>
      </w:r>
      <w:r>
        <w:rPr>
          <w:rFonts w:eastAsia="仿宋_GB2312"/>
          <w:kern w:val="0"/>
          <w:sz w:val="32"/>
          <w:szCs w:val="32"/>
        </w:rPr>
        <w:t>万人。</w:t>
      </w:r>
    </w:p>
    <w:p w:rsidR="00EA6885" w:rsidRDefault="007E707F">
      <w:pPr>
        <w:widowControl w:val="0"/>
        <w:adjustRightInd w:val="0"/>
        <w:snapToGrid w:val="0"/>
        <w:spacing w:line="560" w:lineRule="exact"/>
        <w:ind w:firstLine="616"/>
        <w:outlineLvl w:val="0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十二、住房保障</w:t>
      </w:r>
      <w:r>
        <w:rPr>
          <w:rFonts w:eastAsia="黑体" w:hint="eastAsia"/>
          <w:bCs/>
          <w:kern w:val="0"/>
          <w:sz w:val="32"/>
          <w:szCs w:val="32"/>
        </w:rPr>
        <w:t>、</w:t>
      </w:r>
      <w:r>
        <w:rPr>
          <w:rFonts w:eastAsia="黑体"/>
          <w:bCs/>
          <w:kern w:val="0"/>
          <w:sz w:val="32"/>
          <w:szCs w:val="32"/>
        </w:rPr>
        <w:t>城市建设、资源、环境和应急管理</w:t>
      </w:r>
    </w:p>
    <w:p w:rsidR="00EA6885" w:rsidRDefault="007E707F">
      <w:pPr>
        <w:widowControl w:val="0"/>
        <w:spacing w:line="560" w:lineRule="exact"/>
        <w:ind w:firstLine="616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全州棚户区改造开工</w:t>
      </w:r>
      <w:r>
        <w:rPr>
          <w:rFonts w:eastAsia="仿宋_GB2312"/>
          <w:bCs/>
          <w:sz w:val="32"/>
          <w:szCs w:val="32"/>
        </w:rPr>
        <w:t>0.21</w:t>
      </w:r>
      <w:r>
        <w:rPr>
          <w:rFonts w:eastAsia="仿宋_GB2312"/>
          <w:bCs/>
          <w:sz w:val="32"/>
          <w:szCs w:val="32"/>
        </w:rPr>
        <w:t>万套，基本建成</w:t>
      </w:r>
      <w:r>
        <w:rPr>
          <w:rFonts w:eastAsia="仿宋_GB2312"/>
          <w:bCs/>
          <w:sz w:val="32"/>
          <w:szCs w:val="32"/>
        </w:rPr>
        <w:t>0.48</w:t>
      </w:r>
      <w:r>
        <w:rPr>
          <w:rFonts w:eastAsia="仿宋_GB2312"/>
          <w:bCs/>
          <w:sz w:val="32"/>
          <w:szCs w:val="32"/>
        </w:rPr>
        <w:t>万套。农村</w:t>
      </w:r>
      <w:r>
        <w:rPr>
          <w:rFonts w:eastAsia="仿宋_GB2312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四类</w:t>
      </w:r>
      <w:r>
        <w:rPr>
          <w:rFonts w:eastAsia="仿宋_GB2312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对</w:t>
      </w:r>
      <w:r>
        <w:rPr>
          <w:rFonts w:eastAsia="仿宋_GB2312"/>
          <w:bCs/>
          <w:sz w:val="32"/>
          <w:szCs w:val="32"/>
        </w:rPr>
        <w:t>象危房改造</w:t>
      </w:r>
      <w:r>
        <w:rPr>
          <w:rFonts w:eastAsia="仿宋_GB2312"/>
          <w:bCs/>
          <w:sz w:val="32"/>
          <w:szCs w:val="32"/>
        </w:rPr>
        <w:t>0.62</w:t>
      </w:r>
      <w:r>
        <w:rPr>
          <w:rFonts w:eastAsia="仿宋_GB2312"/>
          <w:bCs/>
          <w:sz w:val="32"/>
          <w:szCs w:val="32"/>
        </w:rPr>
        <w:t>万户。</w:t>
      </w:r>
    </w:p>
    <w:p w:rsidR="00EA6885" w:rsidRDefault="007E707F">
      <w:pPr>
        <w:widowControl w:val="0"/>
        <w:spacing w:line="560" w:lineRule="exact"/>
        <w:ind w:firstLine="61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年末</w:t>
      </w:r>
      <w:r>
        <w:rPr>
          <w:rFonts w:eastAsia="仿宋_GB2312" w:hint="eastAsia"/>
          <w:bCs/>
          <w:sz w:val="32"/>
          <w:szCs w:val="32"/>
        </w:rPr>
        <w:t>城市</w:t>
      </w:r>
      <w:r>
        <w:rPr>
          <w:rFonts w:eastAsia="仿宋_GB2312"/>
          <w:bCs/>
          <w:sz w:val="32"/>
          <w:szCs w:val="32"/>
        </w:rPr>
        <w:t>建成区面积</w:t>
      </w: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 w:hint="eastAsia"/>
          <w:bCs/>
          <w:sz w:val="32"/>
          <w:szCs w:val="32"/>
        </w:rPr>
        <w:t>19.81</w:t>
      </w:r>
      <w:r>
        <w:rPr>
          <w:rFonts w:eastAsia="仿宋_GB2312"/>
          <w:bCs/>
          <w:sz w:val="32"/>
          <w:szCs w:val="32"/>
        </w:rPr>
        <w:t>平方公里，建成区绿化覆盖面</w:t>
      </w:r>
      <w:r>
        <w:rPr>
          <w:rFonts w:eastAsia="仿宋_GB2312"/>
          <w:bCs/>
          <w:sz w:val="32"/>
          <w:szCs w:val="32"/>
        </w:rPr>
        <w:lastRenderedPageBreak/>
        <w:t>积</w:t>
      </w:r>
      <w:r>
        <w:rPr>
          <w:rFonts w:eastAsia="仿宋_GB2312"/>
          <w:bCs/>
          <w:sz w:val="32"/>
          <w:szCs w:val="32"/>
        </w:rPr>
        <w:t>5214.93</w:t>
      </w:r>
      <w:r>
        <w:rPr>
          <w:rFonts w:eastAsia="仿宋_GB2312"/>
          <w:bCs/>
          <w:sz w:val="32"/>
          <w:szCs w:val="32"/>
        </w:rPr>
        <w:t>公顷，建成区绿化覆盖率</w:t>
      </w:r>
      <w:r>
        <w:rPr>
          <w:rFonts w:eastAsia="仿宋_GB2312"/>
          <w:bCs/>
          <w:sz w:val="32"/>
          <w:szCs w:val="32"/>
        </w:rPr>
        <w:t>43.53%</w:t>
      </w:r>
      <w:r>
        <w:rPr>
          <w:rFonts w:eastAsia="仿宋_GB2312"/>
          <w:bCs/>
          <w:sz w:val="32"/>
          <w:szCs w:val="32"/>
        </w:rPr>
        <w:t>。全州公园</w:t>
      </w:r>
      <w:r>
        <w:rPr>
          <w:rFonts w:eastAsia="仿宋_GB2312" w:hint="eastAsia"/>
          <w:bCs/>
          <w:sz w:val="32"/>
          <w:szCs w:val="32"/>
        </w:rPr>
        <w:t>71</w:t>
      </w:r>
      <w:r>
        <w:rPr>
          <w:rFonts w:eastAsia="仿宋_GB2312"/>
          <w:bCs/>
          <w:sz w:val="32"/>
          <w:szCs w:val="32"/>
        </w:rPr>
        <w:t>个，公园面积</w:t>
      </w:r>
      <w:r>
        <w:rPr>
          <w:rFonts w:eastAsia="仿宋_GB2312"/>
          <w:bCs/>
          <w:sz w:val="32"/>
          <w:szCs w:val="32"/>
        </w:rPr>
        <w:t>969.44</w:t>
      </w:r>
      <w:r>
        <w:rPr>
          <w:rFonts w:eastAsia="仿宋_GB2312"/>
          <w:bCs/>
          <w:sz w:val="32"/>
          <w:szCs w:val="32"/>
        </w:rPr>
        <w:t>公顷。城市供水管道长度</w:t>
      </w:r>
      <w:r>
        <w:rPr>
          <w:rFonts w:eastAsia="仿宋_GB2312"/>
          <w:bCs/>
          <w:sz w:val="32"/>
          <w:szCs w:val="32"/>
        </w:rPr>
        <w:t>2461.15</w:t>
      </w:r>
      <w:r>
        <w:rPr>
          <w:rFonts w:eastAsia="仿宋_GB2312"/>
          <w:bCs/>
          <w:sz w:val="32"/>
          <w:szCs w:val="32"/>
        </w:rPr>
        <w:t>公里，</w:t>
      </w:r>
      <w:r>
        <w:rPr>
          <w:rFonts w:eastAsia="仿宋_GB2312" w:hint="eastAsia"/>
          <w:bCs/>
          <w:sz w:val="32"/>
          <w:szCs w:val="32"/>
        </w:rPr>
        <w:t>用</w:t>
      </w:r>
      <w:r>
        <w:rPr>
          <w:rFonts w:eastAsia="仿宋_GB2312"/>
          <w:bCs/>
          <w:sz w:val="32"/>
          <w:szCs w:val="32"/>
        </w:rPr>
        <w:t>水人口</w:t>
      </w:r>
      <w:r>
        <w:rPr>
          <w:rFonts w:eastAsia="仿宋_GB2312"/>
          <w:bCs/>
          <w:sz w:val="32"/>
          <w:szCs w:val="32"/>
        </w:rPr>
        <w:t>97.38</w:t>
      </w:r>
      <w:r>
        <w:rPr>
          <w:rFonts w:eastAsia="仿宋_GB2312"/>
          <w:bCs/>
          <w:sz w:val="32"/>
          <w:szCs w:val="32"/>
        </w:rPr>
        <w:t>万人，年供水总量</w:t>
      </w:r>
      <w:r>
        <w:rPr>
          <w:rFonts w:eastAsia="仿宋_GB2312"/>
          <w:bCs/>
          <w:sz w:val="32"/>
          <w:szCs w:val="32"/>
        </w:rPr>
        <w:t>10558.15</w:t>
      </w:r>
      <w:r>
        <w:rPr>
          <w:rFonts w:eastAsia="仿宋_GB2312"/>
          <w:bCs/>
          <w:sz w:val="32"/>
          <w:szCs w:val="32"/>
        </w:rPr>
        <w:t>万吨；天然气年供气量</w:t>
      </w:r>
      <w:r>
        <w:rPr>
          <w:rFonts w:eastAsia="仿宋_GB2312"/>
          <w:bCs/>
          <w:sz w:val="32"/>
          <w:szCs w:val="32"/>
        </w:rPr>
        <w:t>20207.2</w:t>
      </w:r>
      <w:r>
        <w:rPr>
          <w:rFonts w:eastAsia="仿宋_GB2312"/>
          <w:bCs/>
          <w:sz w:val="32"/>
          <w:szCs w:val="32"/>
        </w:rPr>
        <w:t>万立方米，液化石油气供气量</w:t>
      </w:r>
      <w:r>
        <w:rPr>
          <w:rFonts w:eastAsia="仿宋_GB2312"/>
          <w:bCs/>
          <w:sz w:val="32"/>
          <w:szCs w:val="32"/>
        </w:rPr>
        <w:t>6574.8</w:t>
      </w:r>
      <w:r>
        <w:rPr>
          <w:rFonts w:eastAsia="仿宋_GB2312"/>
          <w:bCs/>
          <w:sz w:val="32"/>
          <w:szCs w:val="32"/>
        </w:rPr>
        <w:t>吨；各类公共厕所</w:t>
      </w:r>
      <w:r>
        <w:rPr>
          <w:rFonts w:eastAsia="仿宋_GB2312"/>
          <w:bCs/>
          <w:sz w:val="32"/>
          <w:szCs w:val="32"/>
        </w:rPr>
        <w:t>339</w:t>
      </w:r>
      <w:r>
        <w:rPr>
          <w:rFonts w:eastAsia="仿宋_GB2312"/>
          <w:bCs/>
          <w:sz w:val="32"/>
          <w:szCs w:val="32"/>
        </w:rPr>
        <w:t>座，生活垃圾无害化处理厂</w:t>
      </w:r>
      <w:r>
        <w:rPr>
          <w:rFonts w:eastAsia="仿宋_GB2312" w:hint="eastAsia"/>
          <w:bCs/>
          <w:sz w:val="32"/>
          <w:szCs w:val="32"/>
        </w:rPr>
        <w:t>10</w:t>
      </w:r>
      <w:r>
        <w:rPr>
          <w:rFonts w:eastAsia="仿宋_GB2312"/>
          <w:bCs/>
          <w:sz w:val="32"/>
          <w:szCs w:val="32"/>
        </w:rPr>
        <w:t>个，污水处理厂</w:t>
      </w: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 w:hint="eastAsia"/>
          <w:bCs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个；生活垃圾清运</w:t>
      </w:r>
      <w:r>
        <w:rPr>
          <w:rFonts w:eastAsia="仿宋_GB2312" w:hint="eastAsia"/>
          <w:bCs/>
          <w:sz w:val="32"/>
          <w:szCs w:val="32"/>
        </w:rPr>
        <w:t>及处理</w:t>
      </w:r>
      <w:r>
        <w:rPr>
          <w:rFonts w:eastAsia="仿宋_GB2312"/>
          <w:bCs/>
          <w:sz w:val="32"/>
          <w:szCs w:val="32"/>
        </w:rPr>
        <w:t>量</w:t>
      </w:r>
      <w:r>
        <w:rPr>
          <w:rFonts w:eastAsia="仿宋_GB2312"/>
          <w:bCs/>
          <w:sz w:val="32"/>
          <w:szCs w:val="32"/>
        </w:rPr>
        <w:t>45.74</w:t>
      </w:r>
      <w:r>
        <w:rPr>
          <w:rFonts w:eastAsia="仿宋_GB2312"/>
          <w:bCs/>
          <w:sz w:val="32"/>
          <w:szCs w:val="32"/>
        </w:rPr>
        <w:t>万吨；城市排水管道长度</w:t>
      </w:r>
      <w:r>
        <w:rPr>
          <w:rFonts w:eastAsia="仿宋_GB2312"/>
          <w:bCs/>
          <w:sz w:val="32"/>
          <w:szCs w:val="32"/>
        </w:rPr>
        <w:t>980.96</w:t>
      </w:r>
      <w:r>
        <w:rPr>
          <w:rFonts w:eastAsia="仿宋_GB2312"/>
          <w:bCs/>
          <w:sz w:val="32"/>
          <w:szCs w:val="32"/>
        </w:rPr>
        <w:t>公里，污水排放量</w:t>
      </w:r>
      <w:r>
        <w:rPr>
          <w:rFonts w:eastAsia="仿宋_GB2312"/>
          <w:bCs/>
          <w:sz w:val="32"/>
          <w:szCs w:val="32"/>
        </w:rPr>
        <w:t>8358.08</w:t>
      </w:r>
      <w:r>
        <w:rPr>
          <w:rFonts w:eastAsia="仿宋_GB2312"/>
          <w:bCs/>
          <w:sz w:val="32"/>
          <w:szCs w:val="32"/>
        </w:rPr>
        <w:t>万立方米，污</w:t>
      </w:r>
      <w:r>
        <w:rPr>
          <w:rFonts w:eastAsia="仿宋_GB2312"/>
          <w:bCs/>
          <w:sz w:val="32"/>
          <w:szCs w:val="32"/>
        </w:rPr>
        <w:t>水处理量</w:t>
      </w:r>
      <w:r>
        <w:rPr>
          <w:rFonts w:eastAsia="仿宋_GB2312"/>
          <w:bCs/>
          <w:sz w:val="32"/>
          <w:szCs w:val="32"/>
        </w:rPr>
        <w:t>7990</w:t>
      </w:r>
      <w:r>
        <w:rPr>
          <w:rFonts w:eastAsia="仿宋_GB2312"/>
          <w:bCs/>
          <w:sz w:val="32"/>
          <w:szCs w:val="32"/>
        </w:rPr>
        <w:t>万立方米。</w:t>
      </w:r>
    </w:p>
    <w:p w:rsidR="00EA6885" w:rsidRDefault="007E707F">
      <w:pPr>
        <w:widowControl w:val="0"/>
        <w:spacing w:line="560" w:lineRule="exact"/>
        <w:ind w:firstLine="61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全社会用电量</w:t>
      </w:r>
      <w:r>
        <w:rPr>
          <w:rFonts w:eastAsia="仿宋_GB2312"/>
          <w:kern w:val="0"/>
          <w:sz w:val="32"/>
          <w:szCs w:val="32"/>
        </w:rPr>
        <w:t>55.58</w:t>
      </w:r>
      <w:r>
        <w:rPr>
          <w:rFonts w:eastAsia="仿宋_GB2312"/>
          <w:kern w:val="0"/>
          <w:sz w:val="32"/>
          <w:szCs w:val="32"/>
        </w:rPr>
        <w:t>亿千瓦时，增长</w:t>
      </w:r>
      <w:r>
        <w:rPr>
          <w:rFonts w:eastAsia="仿宋_GB2312"/>
          <w:kern w:val="0"/>
          <w:sz w:val="32"/>
          <w:szCs w:val="32"/>
        </w:rPr>
        <w:t>1.7%</w:t>
      </w:r>
      <w:r>
        <w:rPr>
          <w:rFonts w:eastAsia="仿宋_GB2312"/>
          <w:kern w:val="0"/>
          <w:sz w:val="32"/>
          <w:szCs w:val="32"/>
        </w:rPr>
        <w:t>。其中，工业用电量</w:t>
      </w:r>
      <w:r>
        <w:rPr>
          <w:rFonts w:eastAsia="仿宋_GB2312"/>
          <w:kern w:val="0"/>
          <w:sz w:val="32"/>
          <w:szCs w:val="32"/>
        </w:rPr>
        <w:t>14.69</w:t>
      </w:r>
      <w:r>
        <w:rPr>
          <w:rFonts w:eastAsia="仿宋_GB2312"/>
          <w:kern w:val="0"/>
          <w:sz w:val="32"/>
          <w:szCs w:val="32"/>
        </w:rPr>
        <w:t>亿千瓦时，下降</w:t>
      </w:r>
      <w:r>
        <w:rPr>
          <w:rFonts w:eastAsia="仿宋_GB2312"/>
          <w:kern w:val="0"/>
          <w:sz w:val="32"/>
          <w:szCs w:val="32"/>
        </w:rPr>
        <w:t>8.5%</w:t>
      </w:r>
      <w:r>
        <w:rPr>
          <w:rFonts w:eastAsia="仿宋_GB2312"/>
          <w:kern w:val="0"/>
          <w:sz w:val="32"/>
          <w:szCs w:val="32"/>
        </w:rPr>
        <w:t>。</w:t>
      </w:r>
    </w:p>
    <w:p w:rsidR="00EA6885" w:rsidRDefault="007E707F">
      <w:pPr>
        <w:widowControl w:val="0"/>
        <w:spacing w:line="560" w:lineRule="exact"/>
        <w:ind w:firstLine="61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全州县市城区空气质量平均优良率为</w:t>
      </w:r>
      <w:r>
        <w:rPr>
          <w:rFonts w:eastAsia="仿宋_GB2312"/>
          <w:kern w:val="0"/>
          <w:sz w:val="32"/>
          <w:szCs w:val="32"/>
        </w:rPr>
        <w:t>97.6%</w:t>
      </w:r>
      <w:r>
        <w:rPr>
          <w:rFonts w:eastAsia="仿宋_GB2312"/>
          <w:kern w:val="0"/>
          <w:sz w:val="32"/>
          <w:szCs w:val="32"/>
        </w:rPr>
        <w:t>，比上年上升</w:t>
      </w:r>
      <w:r>
        <w:rPr>
          <w:rFonts w:eastAsia="仿宋_GB2312"/>
          <w:kern w:val="0"/>
          <w:sz w:val="32"/>
          <w:szCs w:val="32"/>
        </w:rPr>
        <w:t>1.2</w:t>
      </w:r>
      <w:r>
        <w:rPr>
          <w:rFonts w:eastAsia="仿宋_GB2312"/>
          <w:kern w:val="0"/>
          <w:sz w:val="32"/>
          <w:szCs w:val="32"/>
        </w:rPr>
        <w:t>个百分点。州城优良天数为</w:t>
      </w:r>
      <w:r>
        <w:rPr>
          <w:rFonts w:eastAsia="仿宋_GB2312"/>
          <w:kern w:val="0"/>
          <w:sz w:val="32"/>
          <w:szCs w:val="32"/>
        </w:rPr>
        <w:t>352</w:t>
      </w:r>
      <w:r>
        <w:rPr>
          <w:rFonts w:eastAsia="仿宋_GB2312"/>
          <w:kern w:val="0"/>
          <w:sz w:val="32"/>
          <w:szCs w:val="32"/>
        </w:rPr>
        <w:t>天，优良率为</w:t>
      </w:r>
      <w:r>
        <w:rPr>
          <w:rFonts w:eastAsia="仿宋_GB2312"/>
          <w:kern w:val="0"/>
          <w:sz w:val="32"/>
          <w:szCs w:val="32"/>
        </w:rPr>
        <w:t>96.4%</w:t>
      </w:r>
      <w:r>
        <w:rPr>
          <w:rFonts w:eastAsia="仿宋_GB2312"/>
          <w:kern w:val="0"/>
          <w:sz w:val="32"/>
          <w:szCs w:val="32"/>
        </w:rPr>
        <w:t>。县市城区可吸入颗粒物（</w:t>
      </w:r>
      <w:r>
        <w:rPr>
          <w:rFonts w:eastAsia="仿宋_GB2312"/>
          <w:kern w:val="0"/>
          <w:sz w:val="32"/>
          <w:szCs w:val="32"/>
        </w:rPr>
        <w:t>PM</w:t>
      </w:r>
      <w:r>
        <w:rPr>
          <w:rFonts w:eastAsia="仿宋_GB2312"/>
          <w:kern w:val="0"/>
          <w:sz w:val="32"/>
          <w:szCs w:val="32"/>
          <w:vertAlign w:val="subscript"/>
        </w:rPr>
        <w:t>10</w:t>
      </w:r>
      <w:r>
        <w:rPr>
          <w:rFonts w:eastAsia="仿宋_GB2312"/>
          <w:kern w:val="0"/>
          <w:sz w:val="32"/>
          <w:szCs w:val="32"/>
        </w:rPr>
        <w:t>）浓度均值为</w:t>
      </w:r>
      <w:r>
        <w:rPr>
          <w:rFonts w:eastAsia="仿宋_GB2312"/>
          <w:kern w:val="0"/>
          <w:sz w:val="32"/>
          <w:szCs w:val="32"/>
        </w:rPr>
        <w:t>34</w:t>
      </w:r>
      <w:r>
        <w:rPr>
          <w:rFonts w:eastAsia="仿宋_GB2312" w:hint="eastAsia"/>
          <w:kern w:val="0"/>
          <w:sz w:val="32"/>
          <w:szCs w:val="32"/>
        </w:rPr>
        <w:t>ug</w:t>
      </w:r>
      <w:r>
        <w:rPr>
          <w:rFonts w:eastAsia="仿宋_GB2312"/>
          <w:kern w:val="0"/>
          <w:sz w:val="32"/>
          <w:szCs w:val="32"/>
        </w:rPr>
        <w:t>/</w:t>
      </w:r>
      <w:r>
        <w:rPr>
          <w:rFonts w:eastAsia="仿宋_GB2312" w:hint="eastAsia"/>
          <w:kern w:val="0"/>
          <w:sz w:val="32"/>
          <w:szCs w:val="32"/>
        </w:rPr>
        <w:t>m</w:t>
      </w:r>
      <w:r>
        <w:rPr>
          <w:rFonts w:eastAsia="仿宋_GB2312" w:hint="eastAsia"/>
          <w:kern w:val="0"/>
          <w:sz w:val="32"/>
          <w:szCs w:val="32"/>
        </w:rPr>
        <w:t>³</w:t>
      </w:r>
      <w:r>
        <w:rPr>
          <w:rFonts w:eastAsia="仿宋_GB2312"/>
          <w:kern w:val="0"/>
          <w:sz w:val="32"/>
          <w:szCs w:val="32"/>
        </w:rPr>
        <w:t>，比上年下降</w:t>
      </w:r>
      <w:r>
        <w:rPr>
          <w:rFonts w:eastAsia="仿宋_GB2312"/>
          <w:kern w:val="0"/>
          <w:sz w:val="32"/>
          <w:szCs w:val="32"/>
        </w:rPr>
        <w:t>17.1%</w:t>
      </w:r>
      <w:r>
        <w:rPr>
          <w:rFonts w:eastAsia="仿宋_GB2312"/>
          <w:kern w:val="0"/>
          <w:sz w:val="32"/>
          <w:szCs w:val="32"/>
        </w:rPr>
        <w:t>。县市城区细颗粒物（</w:t>
      </w:r>
      <w:r>
        <w:rPr>
          <w:rFonts w:eastAsia="仿宋_GB2312"/>
          <w:kern w:val="0"/>
          <w:sz w:val="32"/>
          <w:szCs w:val="32"/>
        </w:rPr>
        <w:t>PM</w:t>
      </w:r>
      <w:r>
        <w:rPr>
          <w:rFonts w:eastAsia="仿宋_GB2312"/>
          <w:kern w:val="0"/>
          <w:sz w:val="32"/>
          <w:szCs w:val="32"/>
          <w:vertAlign w:val="subscript"/>
        </w:rPr>
        <w:t>2.5</w:t>
      </w:r>
      <w:r>
        <w:rPr>
          <w:rFonts w:eastAsia="仿宋_GB2312"/>
          <w:kern w:val="0"/>
          <w:sz w:val="32"/>
          <w:szCs w:val="32"/>
        </w:rPr>
        <w:t>）浓度均值为</w:t>
      </w:r>
      <w:r>
        <w:rPr>
          <w:rFonts w:eastAsia="仿宋_GB2312"/>
          <w:kern w:val="0"/>
          <w:sz w:val="32"/>
          <w:szCs w:val="32"/>
        </w:rPr>
        <w:t>23</w:t>
      </w:r>
      <w:r>
        <w:rPr>
          <w:rFonts w:eastAsia="仿宋_GB2312" w:hint="eastAsia"/>
          <w:kern w:val="0"/>
          <w:sz w:val="32"/>
          <w:szCs w:val="32"/>
        </w:rPr>
        <w:t>ug</w:t>
      </w:r>
      <w:r>
        <w:rPr>
          <w:rFonts w:eastAsia="仿宋_GB2312"/>
          <w:kern w:val="0"/>
          <w:sz w:val="32"/>
          <w:szCs w:val="32"/>
        </w:rPr>
        <w:t>/</w:t>
      </w:r>
      <w:r>
        <w:rPr>
          <w:rFonts w:eastAsia="仿宋_GB2312" w:hint="eastAsia"/>
          <w:kern w:val="0"/>
          <w:sz w:val="32"/>
          <w:szCs w:val="32"/>
        </w:rPr>
        <w:t>m</w:t>
      </w:r>
      <w:r>
        <w:rPr>
          <w:rFonts w:eastAsia="仿宋_GB2312" w:hint="eastAsia"/>
          <w:kern w:val="0"/>
          <w:sz w:val="32"/>
          <w:szCs w:val="32"/>
        </w:rPr>
        <w:t>³</w:t>
      </w:r>
      <w:r>
        <w:rPr>
          <w:rFonts w:eastAsia="仿宋_GB2312"/>
          <w:kern w:val="0"/>
          <w:sz w:val="32"/>
          <w:szCs w:val="32"/>
        </w:rPr>
        <w:t>，下降</w:t>
      </w:r>
      <w:r>
        <w:rPr>
          <w:rFonts w:eastAsia="仿宋_GB2312"/>
          <w:kern w:val="0"/>
          <w:sz w:val="32"/>
          <w:szCs w:val="32"/>
        </w:rPr>
        <w:t>11.5%</w:t>
      </w:r>
      <w:r>
        <w:rPr>
          <w:rFonts w:eastAsia="仿宋_GB2312"/>
          <w:kern w:val="0"/>
          <w:sz w:val="32"/>
          <w:szCs w:val="32"/>
        </w:rPr>
        <w:t>。全州</w:t>
      </w:r>
      <w:r>
        <w:rPr>
          <w:rFonts w:eastAsia="仿宋_GB2312"/>
          <w:kern w:val="0"/>
          <w:sz w:val="32"/>
          <w:szCs w:val="32"/>
        </w:rPr>
        <w:t>17</w:t>
      </w:r>
      <w:r>
        <w:rPr>
          <w:rFonts w:eastAsia="仿宋_GB2312"/>
          <w:kern w:val="0"/>
          <w:sz w:val="32"/>
          <w:szCs w:val="32"/>
        </w:rPr>
        <w:t>个地表水考核断面、</w:t>
      </w:r>
      <w:r>
        <w:rPr>
          <w:rFonts w:eastAsia="仿宋_GB2312"/>
          <w:kern w:val="0"/>
          <w:sz w:val="32"/>
          <w:szCs w:val="32"/>
        </w:rPr>
        <w:t>14</w:t>
      </w:r>
      <w:r>
        <w:rPr>
          <w:rFonts w:eastAsia="仿宋_GB2312"/>
          <w:kern w:val="0"/>
          <w:sz w:val="32"/>
          <w:szCs w:val="32"/>
        </w:rPr>
        <w:t>个跨县市界断面和</w:t>
      </w:r>
      <w:r>
        <w:rPr>
          <w:rFonts w:eastAsia="仿宋_GB2312"/>
          <w:kern w:val="0"/>
          <w:sz w:val="32"/>
          <w:szCs w:val="32"/>
        </w:rPr>
        <w:t>12</w:t>
      </w:r>
      <w:r>
        <w:rPr>
          <w:rFonts w:eastAsia="仿宋_GB2312"/>
          <w:kern w:val="0"/>
          <w:sz w:val="32"/>
          <w:szCs w:val="32"/>
        </w:rPr>
        <w:t>个县市城区集中式饮用水水源地水质达标率</w:t>
      </w:r>
      <w:r>
        <w:rPr>
          <w:rFonts w:eastAsia="仿宋_GB2312"/>
          <w:kern w:val="0"/>
          <w:sz w:val="32"/>
          <w:szCs w:val="32"/>
        </w:rPr>
        <w:t>100%</w:t>
      </w:r>
      <w:r>
        <w:rPr>
          <w:rFonts w:eastAsia="仿宋_GB2312"/>
          <w:kern w:val="0"/>
          <w:sz w:val="32"/>
          <w:szCs w:val="32"/>
        </w:rPr>
        <w:t>。</w:t>
      </w:r>
    </w:p>
    <w:p w:rsidR="00EA6885" w:rsidRDefault="007E707F">
      <w:pPr>
        <w:widowControl w:val="0"/>
        <w:spacing w:line="560" w:lineRule="exact"/>
        <w:ind w:firstLine="61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全年平均气温</w:t>
      </w:r>
      <w:r>
        <w:rPr>
          <w:rFonts w:eastAsia="仿宋_GB2312"/>
          <w:sz w:val="32"/>
          <w:szCs w:val="32"/>
        </w:rPr>
        <w:t>15.8℃</w:t>
      </w:r>
      <w:r>
        <w:rPr>
          <w:rFonts w:eastAsia="仿宋_GB2312"/>
          <w:sz w:val="32"/>
          <w:szCs w:val="32"/>
        </w:rPr>
        <w:t>，比历年偏高</w:t>
      </w:r>
      <w:r>
        <w:rPr>
          <w:rFonts w:eastAsia="仿宋_GB2312"/>
          <w:sz w:val="32"/>
          <w:szCs w:val="32"/>
        </w:rPr>
        <w:t>0.3℃</w:t>
      </w:r>
      <w:r>
        <w:rPr>
          <w:rFonts w:eastAsia="仿宋_GB2312"/>
          <w:sz w:val="32"/>
          <w:szCs w:val="32"/>
        </w:rPr>
        <w:t>。平均最高气温</w:t>
      </w:r>
      <w:r>
        <w:rPr>
          <w:rFonts w:eastAsia="仿宋_GB2312"/>
          <w:sz w:val="32"/>
          <w:szCs w:val="32"/>
        </w:rPr>
        <w:t>20.4℃</w:t>
      </w:r>
      <w:r>
        <w:rPr>
          <w:rFonts w:eastAsia="仿宋_GB2312"/>
          <w:sz w:val="32"/>
          <w:szCs w:val="32"/>
        </w:rPr>
        <w:t>，较历史同期基本持平；平均最低气温为</w:t>
      </w:r>
      <w:r>
        <w:rPr>
          <w:rFonts w:eastAsia="仿宋_GB2312"/>
          <w:sz w:val="32"/>
          <w:szCs w:val="32"/>
        </w:rPr>
        <w:t>13℃</w:t>
      </w:r>
      <w:r>
        <w:rPr>
          <w:rFonts w:eastAsia="仿宋_GB2312"/>
          <w:sz w:val="32"/>
          <w:szCs w:val="32"/>
        </w:rPr>
        <w:t>，相对历年明显偏高。区域降水均值</w:t>
      </w:r>
      <w:r>
        <w:rPr>
          <w:rFonts w:eastAsia="仿宋_GB2312"/>
          <w:sz w:val="32"/>
          <w:szCs w:val="32"/>
        </w:rPr>
        <w:t>1913.7</w:t>
      </w:r>
      <w:r>
        <w:rPr>
          <w:rFonts w:eastAsia="仿宋_GB2312"/>
          <w:sz w:val="32"/>
          <w:szCs w:val="32"/>
        </w:rPr>
        <w:t>毫米，较常年同期偏多</w:t>
      </w:r>
      <w:r>
        <w:rPr>
          <w:rFonts w:eastAsia="仿宋_GB2312"/>
          <w:sz w:val="32"/>
          <w:szCs w:val="32"/>
        </w:rPr>
        <w:t>37.8%</w:t>
      </w:r>
      <w:r>
        <w:rPr>
          <w:rFonts w:eastAsia="仿宋_GB2312"/>
          <w:sz w:val="32"/>
          <w:szCs w:val="32"/>
        </w:rPr>
        <w:t>。平均日照时数</w:t>
      </w:r>
      <w:r>
        <w:rPr>
          <w:rFonts w:eastAsia="仿宋_GB2312"/>
          <w:sz w:val="32"/>
          <w:szCs w:val="32"/>
        </w:rPr>
        <w:t>1046.6</w:t>
      </w:r>
      <w:r>
        <w:rPr>
          <w:rFonts w:eastAsia="仿宋_GB2312"/>
          <w:sz w:val="32"/>
          <w:szCs w:val="32"/>
        </w:rPr>
        <w:t>小时，比常年同期偏少</w:t>
      </w:r>
      <w:r>
        <w:rPr>
          <w:rFonts w:eastAsia="仿宋_GB2312"/>
          <w:sz w:val="32"/>
          <w:szCs w:val="32"/>
        </w:rPr>
        <w:t>136.1</w:t>
      </w:r>
      <w:r>
        <w:rPr>
          <w:rFonts w:eastAsia="仿宋_GB2312"/>
          <w:sz w:val="32"/>
          <w:szCs w:val="32"/>
        </w:rPr>
        <w:t>小时。</w:t>
      </w:r>
    </w:p>
    <w:p w:rsidR="00EA6885" w:rsidRDefault="007E707F">
      <w:pPr>
        <w:widowControl w:val="0"/>
        <w:spacing w:line="560" w:lineRule="exact"/>
        <w:ind w:firstLine="61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全州年末森林面积</w:t>
      </w:r>
      <w:r>
        <w:rPr>
          <w:rFonts w:eastAsia="仿宋_GB2312"/>
          <w:kern w:val="0"/>
          <w:sz w:val="32"/>
          <w:szCs w:val="32"/>
        </w:rPr>
        <w:t>150.4</w:t>
      </w:r>
      <w:r>
        <w:rPr>
          <w:rFonts w:eastAsia="仿宋_GB2312"/>
          <w:kern w:val="0"/>
          <w:sz w:val="32"/>
          <w:szCs w:val="32"/>
        </w:rPr>
        <w:t>万公顷，林木绿化率达到</w:t>
      </w:r>
      <w:r>
        <w:rPr>
          <w:rFonts w:eastAsia="仿宋_GB2312"/>
          <w:kern w:val="0"/>
          <w:sz w:val="32"/>
          <w:szCs w:val="32"/>
        </w:rPr>
        <w:t>74.79%</w:t>
      </w:r>
      <w:r>
        <w:rPr>
          <w:rFonts w:eastAsia="仿宋_GB2312"/>
          <w:kern w:val="0"/>
          <w:sz w:val="32"/>
          <w:szCs w:val="32"/>
        </w:rPr>
        <w:t>，森林覆盖率达到</w:t>
      </w:r>
      <w:r>
        <w:rPr>
          <w:rFonts w:eastAsia="仿宋_GB2312"/>
          <w:kern w:val="0"/>
          <w:sz w:val="32"/>
          <w:szCs w:val="32"/>
        </w:rPr>
        <w:t>70.14%</w:t>
      </w:r>
      <w:r>
        <w:rPr>
          <w:rFonts w:eastAsia="仿宋_GB2312"/>
          <w:kern w:val="0"/>
          <w:sz w:val="32"/>
          <w:szCs w:val="32"/>
        </w:rPr>
        <w:t>。截止年底，全州共有国家级自然保护区</w:t>
      </w:r>
      <w:r>
        <w:rPr>
          <w:rFonts w:eastAsia="仿宋_GB2312"/>
          <w:kern w:val="0"/>
          <w:sz w:val="32"/>
          <w:szCs w:val="32"/>
        </w:rPr>
        <w:t>5</w:t>
      </w:r>
      <w:r>
        <w:rPr>
          <w:rFonts w:eastAsia="仿宋_GB2312"/>
          <w:kern w:val="0"/>
          <w:sz w:val="32"/>
          <w:szCs w:val="32"/>
        </w:rPr>
        <w:t>个，保护区面积</w:t>
      </w:r>
      <w:r>
        <w:rPr>
          <w:rFonts w:eastAsia="仿宋_GB2312"/>
          <w:kern w:val="0"/>
          <w:sz w:val="32"/>
          <w:szCs w:val="32"/>
        </w:rPr>
        <w:t>13.62</w:t>
      </w:r>
      <w:r>
        <w:rPr>
          <w:rFonts w:eastAsia="仿宋_GB2312"/>
          <w:kern w:val="0"/>
          <w:sz w:val="32"/>
          <w:szCs w:val="32"/>
        </w:rPr>
        <w:t>万公顷。</w:t>
      </w:r>
    </w:p>
    <w:p w:rsidR="00EA6885" w:rsidRDefault="007E707F">
      <w:pPr>
        <w:widowControl w:val="0"/>
        <w:adjustRightInd w:val="0"/>
        <w:snapToGrid w:val="0"/>
        <w:spacing w:line="560" w:lineRule="exact"/>
        <w:ind w:firstLine="61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全年发生</w:t>
      </w:r>
      <w:r>
        <w:rPr>
          <w:rFonts w:eastAsia="仿宋_GB2312" w:hint="eastAsia"/>
          <w:kern w:val="0"/>
          <w:sz w:val="32"/>
          <w:szCs w:val="32"/>
        </w:rPr>
        <w:t>一般</w:t>
      </w:r>
      <w:r>
        <w:rPr>
          <w:rFonts w:eastAsia="仿宋_GB2312"/>
          <w:kern w:val="0"/>
          <w:sz w:val="32"/>
          <w:szCs w:val="32"/>
        </w:rPr>
        <w:t>安全生产事故</w:t>
      </w:r>
      <w:r>
        <w:rPr>
          <w:rFonts w:eastAsia="仿宋_GB2312"/>
          <w:kern w:val="0"/>
          <w:sz w:val="32"/>
          <w:szCs w:val="32"/>
        </w:rPr>
        <w:t>33</w:t>
      </w:r>
      <w:r>
        <w:rPr>
          <w:rFonts w:eastAsia="仿宋_GB2312"/>
          <w:kern w:val="0"/>
          <w:sz w:val="32"/>
          <w:szCs w:val="32"/>
        </w:rPr>
        <w:t>起，比上年减少</w:t>
      </w:r>
      <w:r>
        <w:rPr>
          <w:rFonts w:eastAsia="仿宋_GB2312"/>
          <w:kern w:val="0"/>
          <w:sz w:val="32"/>
          <w:szCs w:val="32"/>
        </w:rPr>
        <w:t>27</w:t>
      </w:r>
      <w:r>
        <w:rPr>
          <w:rFonts w:eastAsia="仿宋_GB2312"/>
          <w:kern w:val="0"/>
          <w:sz w:val="32"/>
          <w:szCs w:val="32"/>
        </w:rPr>
        <w:t>起。死亡</w:t>
      </w:r>
      <w:r>
        <w:rPr>
          <w:rFonts w:eastAsia="仿宋_GB2312"/>
          <w:kern w:val="0"/>
          <w:sz w:val="32"/>
          <w:szCs w:val="32"/>
        </w:rPr>
        <w:lastRenderedPageBreak/>
        <w:t>人数</w:t>
      </w:r>
      <w:r>
        <w:rPr>
          <w:rFonts w:eastAsia="仿宋_GB2312"/>
          <w:kern w:val="0"/>
          <w:sz w:val="32"/>
          <w:szCs w:val="32"/>
        </w:rPr>
        <w:t>35</w:t>
      </w:r>
      <w:r>
        <w:rPr>
          <w:rFonts w:eastAsia="仿宋_GB2312"/>
          <w:kern w:val="0"/>
          <w:sz w:val="32"/>
          <w:szCs w:val="32"/>
        </w:rPr>
        <w:t>人，减少</w:t>
      </w:r>
      <w:r>
        <w:rPr>
          <w:rFonts w:eastAsia="仿宋_GB2312"/>
          <w:kern w:val="0"/>
          <w:sz w:val="32"/>
          <w:szCs w:val="32"/>
        </w:rPr>
        <w:t>23</w:t>
      </w:r>
      <w:r>
        <w:rPr>
          <w:rFonts w:eastAsia="仿宋_GB2312"/>
          <w:kern w:val="0"/>
          <w:sz w:val="32"/>
          <w:szCs w:val="32"/>
        </w:rPr>
        <w:t>人；</w:t>
      </w:r>
      <w:r>
        <w:rPr>
          <w:rFonts w:eastAsia="仿宋_GB2312"/>
          <w:sz w:val="32"/>
          <w:szCs w:val="32"/>
        </w:rPr>
        <w:t>直接经济损失</w:t>
      </w:r>
      <w:r>
        <w:rPr>
          <w:rFonts w:eastAsia="仿宋_GB2312"/>
          <w:sz w:val="32"/>
          <w:szCs w:val="32"/>
        </w:rPr>
        <w:t>713</w:t>
      </w:r>
      <w:r>
        <w:rPr>
          <w:rFonts w:eastAsia="仿宋_GB2312"/>
          <w:sz w:val="32"/>
          <w:szCs w:val="32"/>
        </w:rPr>
        <w:t>万元</w:t>
      </w:r>
      <w:r>
        <w:rPr>
          <w:rFonts w:eastAsia="仿宋_GB2312"/>
          <w:kern w:val="0"/>
          <w:sz w:val="32"/>
          <w:szCs w:val="32"/>
        </w:rPr>
        <w:t>。</w:t>
      </w:r>
      <w:r>
        <w:rPr>
          <w:rFonts w:eastAsia="仿宋_GB2312" w:hint="eastAsia"/>
          <w:kern w:val="0"/>
          <w:sz w:val="32"/>
          <w:szCs w:val="32"/>
        </w:rPr>
        <w:t>未发</w:t>
      </w:r>
      <w:r>
        <w:rPr>
          <w:rFonts w:eastAsia="仿宋_GB2312" w:hint="eastAsia"/>
          <w:kern w:val="0"/>
          <w:sz w:val="32"/>
          <w:szCs w:val="32"/>
        </w:rPr>
        <w:t>生较大及以上生产安全事故。</w:t>
      </w:r>
      <w:r>
        <w:rPr>
          <w:rFonts w:eastAsia="仿宋_GB2312"/>
          <w:kern w:val="0"/>
          <w:sz w:val="32"/>
          <w:szCs w:val="32"/>
        </w:rPr>
        <w:t>全年先后发生风雹、低温冷冻、暴雨洪涝、山体崩塌等</w:t>
      </w:r>
      <w:r>
        <w:rPr>
          <w:rFonts w:eastAsia="仿宋_GB2312"/>
          <w:kern w:val="0"/>
          <w:sz w:val="32"/>
          <w:szCs w:val="32"/>
        </w:rPr>
        <w:t>21</w:t>
      </w:r>
      <w:r>
        <w:rPr>
          <w:rFonts w:eastAsia="仿宋_GB2312"/>
          <w:kern w:val="0"/>
          <w:sz w:val="32"/>
          <w:szCs w:val="32"/>
        </w:rPr>
        <w:t>次较大自然灾害，因灾造成直接经济损失</w:t>
      </w:r>
      <w:r>
        <w:rPr>
          <w:rFonts w:eastAsia="仿宋_GB2312"/>
          <w:kern w:val="0"/>
          <w:sz w:val="32"/>
          <w:szCs w:val="32"/>
        </w:rPr>
        <w:t>39.08</w:t>
      </w:r>
      <w:r>
        <w:rPr>
          <w:rFonts w:eastAsia="仿宋_GB2312"/>
          <w:kern w:val="0"/>
          <w:sz w:val="32"/>
          <w:szCs w:val="32"/>
        </w:rPr>
        <w:t>亿元，占地区生产总值的</w:t>
      </w:r>
      <w:r>
        <w:rPr>
          <w:rFonts w:eastAsia="仿宋_GB2312"/>
          <w:kern w:val="0"/>
          <w:sz w:val="32"/>
          <w:szCs w:val="32"/>
        </w:rPr>
        <w:t>3.5%</w:t>
      </w:r>
      <w:r>
        <w:rPr>
          <w:rFonts w:eastAsia="仿宋_GB2312"/>
          <w:kern w:val="0"/>
          <w:sz w:val="32"/>
          <w:szCs w:val="32"/>
        </w:rPr>
        <w:t>。</w:t>
      </w:r>
    </w:p>
    <w:p w:rsidR="00EA6885" w:rsidRDefault="00EA6885">
      <w:pPr>
        <w:widowControl w:val="0"/>
        <w:spacing w:line="560" w:lineRule="exact"/>
        <w:ind w:firstLine="576"/>
        <w:rPr>
          <w:rFonts w:eastAsia="黑体"/>
          <w:bCs/>
          <w:kern w:val="0"/>
          <w:sz w:val="30"/>
          <w:szCs w:val="30"/>
        </w:rPr>
      </w:pPr>
    </w:p>
    <w:p w:rsidR="00EA6885" w:rsidRDefault="007E707F">
      <w:pPr>
        <w:widowControl w:val="0"/>
        <w:spacing w:line="560" w:lineRule="exact"/>
        <w:ind w:firstLine="576"/>
        <w:rPr>
          <w:rFonts w:eastAsia="黑体"/>
          <w:bCs/>
          <w:kern w:val="0"/>
          <w:sz w:val="30"/>
          <w:szCs w:val="30"/>
        </w:rPr>
      </w:pPr>
      <w:r>
        <w:rPr>
          <w:rFonts w:eastAsia="黑体"/>
          <w:bCs/>
          <w:kern w:val="0"/>
          <w:sz w:val="30"/>
          <w:szCs w:val="30"/>
        </w:rPr>
        <w:t>注释：</w:t>
      </w:r>
    </w:p>
    <w:p w:rsidR="00EA6885" w:rsidRDefault="007E707F">
      <w:pPr>
        <w:widowControl w:val="0"/>
        <w:spacing w:line="560" w:lineRule="exact"/>
        <w:ind w:firstLine="576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[1]</w:t>
      </w:r>
      <w:r>
        <w:rPr>
          <w:rFonts w:eastAsia="仿宋_GB2312"/>
          <w:kern w:val="0"/>
          <w:sz w:val="30"/>
          <w:szCs w:val="30"/>
        </w:rPr>
        <w:t>本公报所列数据为初步统计数，最终数据以统计年鉴及部门或行业公报为准。</w:t>
      </w:r>
    </w:p>
    <w:p w:rsidR="00EA6885" w:rsidRDefault="007E707F">
      <w:pPr>
        <w:widowControl w:val="0"/>
        <w:spacing w:line="560" w:lineRule="exact"/>
        <w:ind w:firstLine="576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[2]</w:t>
      </w:r>
      <w:r>
        <w:rPr>
          <w:rFonts w:eastAsia="仿宋_GB2312"/>
          <w:kern w:val="0"/>
          <w:sz w:val="30"/>
          <w:szCs w:val="30"/>
        </w:rPr>
        <w:t>地区生产总值、各产业增加值及人均生产总值绝对数按现价计算，增长速度按</w:t>
      </w:r>
      <w:r>
        <w:rPr>
          <w:rFonts w:eastAsia="仿宋_GB2312"/>
          <w:kern w:val="0"/>
          <w:sz w:val="30"/>
          <w:szCs w:val="30"/>
        </w:rPr>
        <w:t>2015</w:t>
      </w:r>
      <w:r>
        <w:rPr>
          <w:rFonts w:eastAsia="仿宋_GB2312"/>
          <w:kern w:val="0"/>
          <w:sz w:val="30"/>
          <w:szCs w:val="30"/>
        </w:rPr>
        <w:t>年不变价格计算。</w:t>
      </w:r>
    </w:p>
    <w:p w:rsidR="00EA6885" w:rsidRDefault="007E707F">
      <w:pPr>
        <w:widowControl w:val="0"/>
        <w:spacing w:line="560" w:lineRule="exact"/>
        <w:ind w:firstLine="576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[3]</w:t>
      </w:r>
      <w:r>
        <w:rPr>
          <w:rFonts w:eastAsia="仿宋_GB2312"/>
          <w:kern w:val="0"/>
          <w:sz w:val="30"/>
          <w:szCs w:val="30"/>
        </w:rPr>
        <w:t>根据第四次全国经济普查结果，对地区生产总值、三次产业及相关行业增加值</w:t>
      </w:r>
      <w:r>
        <w:rPr>
          <w:rFonts w:eastAsia="仿宋_GB2312" w:hint="eastAsia"/>
          <w:kern w:val="0"/>
          <w:sz w:val="30"/>
          <w:szCs w:val="30"/>
        </w:rPr>
        <w:t>、社会消费品零售总额</w:t>
      </w:r>
      <w:r>
        <w:rPr>
          <w:rFonts w:eastAsia="仿宋_GB2312"/>
          <w:kern w:val="0"/>
          <w:sz w:val="30"/>
          <w:szCs w:val="30"/>
        </w:rPr>
        <w:t>等相关指标的历史数据进行了修订。</w:t>
      </w:r>
    </w:p>
    <w:p w:rsidR="00EA6885" w:rsidRDefault="007E707F">
      <w:pPr>
        <w:widowControl w:val="0"/>
        <w:spacing w:line="560" w:lineRule="exact"/>
        <w:ind w:firstLine="576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 xml:space="preserve"> [</w:t>
      </w:r>
      <w:r>
        <w:rPr>
          <w:rFonts w:eastAsia="仿宋_GB2312" w:hint="eastAsia"/>
          <w:kern w:val="0"/>
          <w:sz w:val="30"/>
          <w:szCs w:val="30"/>
        </w:rPr>
        <w:t>4</w:t>
      </w:r>
      <w:r>
        <w:rPr>
          <w:rFonts w:eastAsia="仿宋_GB2312"/>
          <w:kern w:val="0"/>
          <w:sz w:val="30"/>
          <w:szCs w:val="30"/>
        </w:rPr>
        <w:t>]</w:t>
      </w:r>
      <w:r>
        <w:rPr>
          <w:rFonts w:eastAsia="仿宋_GB2312"/>
          <w:kern w:val="0"/>
          <w:sz w:val="30"/>
          <w:szCs w:val="30"/>
        </w:rPr>
        <w:t>农、林、牧、渔业增加</w:t>
      </w:r>
      <w:proofErr w:type="gramStart"/>
      <w:r>
        <w:rPr>
          <w:rFonts w:eastAsia="仿宋_GB2312"/>
          <w:kern w:val="0"/>
          <w:sz w:val="30"/>
          <w:szCs w:val="30"/>
        </w:rPr>
        <w:t>值含农</w:t>
      </w:r>
      <w:proofErr w:type="gramEnd"/>
      <w:r>
        <w:rPr>
          <w:rFonts w:eastAsia="仿宋_GB2312"/>
          <w:kern w:val="0"/>
          <w:sz w:val="30"/>
          <w:szCs w:val="30"/>
        </w:rPr>
        <w:t>、林、牧、渔服务业增加值；农、林、牧、渔业总产值含农、林、牧、渔服务业产值。</w:t>
      </w:r>
    </w:p>
    <w:p w:rsidR="00EA6885" w:rsidRDefault="00EA6885">
      <w:pPr>
        <w:widowControl w:val="0"/>
        <w:spacing w:line="560" w:lineRule="exact"/>
        <w:ind w:firstLine="576"/>
        <w:jc w:val="left"/>
        <w:rPr>
          <w:rFonts w:eastAsia="黑体"/>
          <w:bCs/>
          <w:kern w:val="0"/>
          <w:sz w:val="30"/>
          <w:szCs w:val="30"/>
        </w:rPr>
      </w:pPr>
    </w:p>
    <w:p w:rsidR="00EA6885" w:rsidRDefault="007E707F">
      <w:pPr>
        <w:widowControl w:val="0"/>
        <w:spacing w:line="560" w:lineRule="exact"/>
        <w:ind w:firstLine="576"/>
        <w:jc w:val="left"/>
        <w:rPr>
          <w:rFonts w:eastAsia="黑体"/>
          <w:bCs/>
          <w:kern w:val="0"/>
          <w:sz w:val="30"/>
          <w:szCs w:val="30"/>
        </w:rPr>
      </w:pPr>
      <w:r>
        <w:rPr>
          <w:rFonts w:eastAsia="黑体"/>
          <w:bCs/>
          <w:kern w:val="0"/>
          <w:sz w:val="30"/>
          <w:szCs w:val="30"/>
        </w:rPr>
        <w:t>资料来源：</w:t>
      </w:r>
    </w:p>
    <w:p w:rsidR="00EA6885" w:rsidRDefault="007E707F">
      <w:pPr>
        <w:widowControl w:val="0"/>
        <w:spacing w:line="560" w:lineRule="exact"/>
        <w:ind w:firstLine="576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本公报中年末人口</w:t>
      </w:r>
      <w:r>
        <w:rPr>
          <w:rFonts w:eastAsia="仿宋_GB2312" w:hint="eastAsia"/>
          <w:kern w:val="0"/>
          <w:sz w:val="30"/>
          <w:szCs w:val="30"/>
        </w:rPr>
        <w:t>和</w:t>
      </w:r>
      <w:r>
        <w:rPr>
          <w:rFonts w:eastAsia="仿宋_GB2312"/>
          <w:kern w:val="0"/>
          <w:sz w:val="30"/>
          <w:szCs w:val="30"/>
        </w:rPr>
        <w:t>机动车拥有</w:t>
      </w:r>
      <w:proofErr w:type="gramStart"/>
      <w:r>
        <w:rPr>
          <w:rFonts w:eastAsia="仿宋_GB2312"/>
          <w:kern w:val="0"/>
          <w:sz w:val="30"/>
          <w:szCs w:val="30"/>
        </w:rPr>
        <w:t>量来自</w:t>
      </w:r>
      <w:r>
        <w:rPr>
          <w:rFonts w:eastAsia="仿宋_GB2312" w:hint="eastAsia"/>
          <w:kern w:val="0"/>
          <w:sz w:val="30"/>
          <w:szCs w:val="30"/>
        </w:rPr>
        <w:t>州</w:t>
      </w:r>
      <w:proofErr w:type="gramEnd"/>
      <w:r>
        <w:rPr>
          <w:rFonts w:eastAsia="仿宋_GB2312"/>
          <w:kern w:val="0"/>
          <w:sz w:val="30"/>
          <w:szCs w:val="30"/>
        </w:rPr>
        <w:t>公安局；卫生健康</w:t>
      </w:r>
      <w:r>
        <w:rPr>
          <w:rFonts w:eastAsia="仿宋_GB2312" w:hint="eastAsia"/>
          <w:kern w:val="0"/>
          <w:sz w:val="30"/>
          <w:szCs w:val="30"/>
        </w:rPr>
        <w:t>和</w:t>
      </w:r>
      <w:r>
        <w:rPr>
          <w:rFonts w:eastAsia="仿宋_GB2312"/>
          <w:kern w:val="0"/>
          <w:sz w:val="30"/>
          <w:szCs w:val="30"/>
        </w:rPr>
        <w:t>人口变动等数据来自州卫健委；就业</w:t>
      </w:r>
      <w:r>
        <w:rPr>
          <w:rFonts w:eastAsia="仿宋_GB2312" w:hint="eastAsia"/>
          <w:kern w:val="0"/>
          <w:sz w:val="30"/>
          <w:szCs w:val="30"/>
        </w:rPr>
        <w:t>和</w:t>
      </w:r>
      <w:r>
        <w:rPr>
          <w:rFonts w:eastAsia="仿宋_GB2312"/>
          <w:kern w:val="0"/>
          <w:sz w:val="30"/>
          <w:szCs w:val="30"/>
        </w:rPr>
        <w:t>社保数据来自州</w:t>
      </w:r>
      <w:proofErr w:type="gramStart"/>
      <w:r>
        <w:rPr>
          <w:rFonts w:eastAsia="仿宋_GB2312"/>
          <w:kern w:val="0"/>
          <w:sz w:val="30"/>
          <w:szCs w:val="30"/>
        </w:rPr>
        <w:t>人社局</w:t>
      </w:r>
      <w:proofErr w:type="gramEnd"/>
      <w:r>
        <w:rPr>
          <w:rFonts w:eastAsia="仿宋_GB2312"/>
          <w:kern w:val="0"/>
          <w:sz w:val="30"/>
          <w:szCs w:val="30"/>
        </w:rPr>
        <w:t>；</w:t>
      </w:r>
      <w:proofErr w:type="gramStart"/>
      <w:r>
        <w:rPr>
          <w:rFonts w:eastAsia="仿宋_GB2312"/>
          <w:kern w:val="0"/>
          <w:sz w:val="30"/>
          <w:szCs w:val="30"/>
        </w:rPr>
        <w:t>医</w:t>
      </w:r>
      <w:proofErr w:type="gramEnd"/>
      <w:r>
        <w:rPr>
          <w:rFonts w:eastAsia="仿宋_GB2312"/>
          <w:kern w:val="0"/>
          <w:sz w:val="30"/>
          <w:szCs w:val="30"/>
        </w:rPr>
        <w:t>保等数据来自州</w:t>
      </w:r>
      <w:proofErr w:type="gramStart"/>
      <w:r>
        <w:rPr>
          <w:rFonts w:eastAsia="仿宋_GB2312"/>
          <w:kern w:val="0"/>
          <w:sz w:val="30"/>
          <w:szCs w:val="30"/>
        </w:rPr>
        <w:t>医</w:t>
      </w:r>
      <w:proofErr w:type="gramEnd"/>
      <w:r>
        <w:rPr>
          <w:rFonts w:eastAsia="仿宋_GB2312"/>
          <w:kern w:val="0"/>
          <w:sz w:val="30"/>
          <w:szCs w:val="30"/>
        </w:rPr>
        <w:t>保局；市场主体、注册商标和专利授权数据来自州市场</w:t>
      </w:r>
      <w:r>
        <w:rPr>
          <w:rFonts w:eastAsia="仿宋_GB2312" w:hint="eastAsia"/>
          <w:kern w:val="0"/>
          <w:sz w:val="30"/>
          <w:szCs w:val="30"/>
        </w:rPr>
        <w:t>监督管理</w:t>
      </w:r>
      <w:r>
        <w:rPr>
          <w:rFonts w:eastAsia="仿宋_GB2312"/>
          <w:kern w:val="0"/>
          <w:sz w:val="30"/>
          <w:szCs w:val="30"/>
        </w:rPr>
        <w:t>局；减</w:t>
      </w:r>
      <w:proofErr w:type="gramStart"/>
      <w:r>
        <w:rPr>
          <w:rFonts w:eastAsia="仿宋_GB2312"/>
          <w:kern w:val="0"/>
          <w:sz w:val="30"/>
          <w:szCs w:val="30"/>
        </w:rPr>
        <w:t>贫人数</w:t>
      </w:r>
      <w:proofErr w:type="gramEnd"/>
      <w:r>
        <w:rPr>
          <w:rFonts w:eastAsia="仿宋_GB2312"/>
          <w:kern w:val="0"/>
          <w:sz w:val="30"/>
          <w:szCs w:val="30"/>
        </w:rPr>
        <w:t>来自州扶贫办；</w:t>
      </w:r>
      <w:r>
        <w:rPr>
          <w:rFonts w:eastAsia="仿宋_GB2312" w:hint="eastAsia"/>
          <w:kern w:val="0"/>
          <w:sz w:val="30"/>
          <w:szCs w:val="30"/>
        </w:rPr>
        <w:t>农机数据来自</w:t>
      </w:r>
      <w:proofErr w:type="gramStart"/>
      <w:r>
        <w:rPr>
          <w:rFonts w:eastAsia="仿宋_GB2312" w:hint="eastAsia"/>
          <w:kern w:val="0"/>
          <w:sz w:val="30"/>
          <w:szCs w:val="30"/>
        </w:rPr>
        <w:t>州农业</w:t>
      </w:r>
      <w:proofErr w:type="gramEnd"/>
      <w:r>
        <w:rPr>
          <w:rFonts w:eastAsia="仿宋_GB2312" w:hint="eastAsia"/>
          <w:kern w:val="0"/>
          <w:sz w:val="30"/>
          <w:szCs w:val="30"/>
        </w:rPr>
        <w:t>农村局；</w:t>
      </w:r>
      <w:r>
        <w:rPr>
          <w:rFonts w:eastAsia="仿宋_GB2312"/>
          <w:kern w:val="0"/>
          <w:sz w:val="30"/>
          <w:szCs w:val="30"/>
        </w:rPr>
        <w:t>公路里程来自州交通运输局、州公路局；公路运输数据来自州运管处，通航里程</w:t>
      </w:r>
      <w:r>
        <w:rPr>
          <w:rFonts w:eastAsia="仿宋_GB2312" w:hint="eastAsia"/>
          <w:kern w:val="0"/>
          <w:sz w:val="30"/>
          <w:szCs w:val="30"/>
        </w:rPr>
        <w:t>和</w:t>
      </w:r>
      <w:r>
        <w:rPr>
          <w:rFonts w:eastAsia="仿宋_GB2312"/>
          <w:kern w:val="0"/>
          <w:sz w:val="30"/>
          <w:szCs w:val="30"/>
        </w:rPr>
        <w:t>水路运输数据</w:t>
      </w:r>
      <w:proofErr w:type="gramStart"/>
      <w:r>
        <w:rPr>
          <w:rFonts w:eastAsia="仿宋_GB2312"/>
          <w:kern w:val="0"/>
          <w:sz w:val="30"/>
          <w:szCs w:val="30"/>
        </w:rPr>
        <w:t>来自州港航</w:t>
      </w:r>
      <w:proofErr w:type="gramEnd"/>
      <w:r>
        <w:rPr>
          <w:rFonts w:eastAsia="仿宋_GB2312"/>
          <w:kern w:val="0"/>
          <w:sz w:val="30"/>
          <w:szCs w:val="30"/>
        </w:rPr>
        <w:t>局；民航运输数据来自恩施机场</w:t>
      </w:r>
      <w:r>
        <w:rPr>
          <w:rFonts w:eastAsia="仿宋_GB2312"/>
          <w:kern w:val="0"/>
          <w:sz w:val="30"/>
          <w:szCs w:val="30"/>
        </w:rPr>
        <w:lastRenderedPageBreak/>
        <w:t>公司；铁路里程来自</w:t>
      </w:r>
      <w:proofErr w:type="gramStart"/>
      <w:r>
        <w:rPr>
          <w:rFonts w:eastAsia="仿宋_GB2312"/>
          <w:kern w:val="0"/>
          <w:sz w:val="30"/>
          <w:szCs w:val="30"/>
        </w:rPr>
        <w:t>州铁路</w:t>
      </w:r>
      <w:proofErr w:type="gramEnd"/>
      <w:r>
        <w:rPr>
          <w:rFonts w:eastAsia="仿宋_GB2312"/>
          <w:kern w:val="0"/>
          <w:sz w:val="30"/>
          <w:szCs w:val="30"/>
        </w:rPr>
        <w:t>办；铁路运</w:t>
      </w:r>
      <w:r>
        <w:rPr>
          <w:rFonts w:eastAsia="仿宋_GB2312"/>
          <w:kern w:val="0"/>
          <w:sz w:val="30"/>
          <w:szCs w:val="30"/>
        </w:rPr>
        <w:t>输数据来自州内火车站；邮政业务数据来自州邮政管理局，电信业务数据来自州内</w:t>
      </w:r>
      <w:r>
        <w:rPr>
          <w:rFonts w:eastAsia="仿宋_GB2312" w:hint="eastAsia"/>
          <w:kern w:val="0"/>
          <w:sz w:val="30"/>
          <w:szCs w:val="30"/>
        </w:rPr>
        <w:t>4</w:t>
      </w:r>
      <w:r>
        <w:rPr>
          <w:rFonts w:eastAsia="仿宋_GB2312"/>
          <w:kern w:val="0"/>
          <w:sz w:val="30"/>
          <w:szCs w:val="30"/>
        </w:rPr>
        <w:t>家</w:t>
      </w:r>
      <w:r>
        <w:rPr>
          <w:rFonts w:eastAsia="仿宋_GB2312" w:hint="eastAsia"/>
          <w:kern w:val="0"/>
          <w:sz w:val="30"/>
          <w:szCs w:val="30"/>
        </w:rPr>
        <w:t>网络运营商</w:t>
      </w:r>
      <w:r>
        <w:rPr>
          <w:rFonts w:eastAsia="仿宋_GB2312"/>
          <w:kern w:val="0"/>
          <w:sz w:val="30"/>
          <w:szCs w:val="30"/>
        </w:rPr>
        <w:t>；保障性住房</w:t>
      </w:r>
      <w:r>
        <w:rPr>
          <w:rFonts w:eastAsia="仿宋_GB2312" w:hint="eastAsia"/>
          <w:kern w:val="0"/>
          <w:sz w:val="30"/>
          <w:szCs w:val="30"/>
        </w:rPr>
        <w:t>和城市建设</w:t>
      </w:r>
      <w:r>
        <w:rPr>
          <w:rFonts w:eastAsia="仿宋_GB2312"/>
          <w:kern w:val="0"/>
          <w:sz w:val="30"/>
          <w:szCs w:val="30"/>
        </w:rPr>
        <w:t>数据来自州住建局；外贸进出口</w:t>
      </w:r>
      <w:r>
        <w:rPr>
          <w:rFonts w:eastAsia="仿宋_GB2312" w:hint="eastAsia"/>
          <w:kern w:val="0"/>
          <w:sz w:val="30"/>
          <w:szCs w:val="30"/>
        </w:rPr>
        <w:t>和</w:t>
      </w:r>
      <w:r>
        <w:rPr>
          <w:rFonts w:eastAsia="仿宋_GB2312"/>
          <w:kern w:val="0"/>
          <w:sz w:val="30"/>
          <w:szCs w:val="30"/>
        </w:rPr>
        <w:t>利用外资数据来自州商务局；财政收支数据来自州财政局；货币金融</w:t>
      </w:r>
      <w:r>
        <w:rPr>
          <w:rFonts w:eastAsia="仿宋_GB2312" w:hint="eastAsia"/>
          <w:kern w:val="0"/>
          <w:sz w:val="30"/>
          <w:szCs w:val="30"/>
        </w:rPr>
        <w:t>和</w:t>
      </w:r>
      <w:r>
        <w:rPr>
          <w:rFonts w:eastAsia="仿宋_GB2312"/>
          <w:kern w:val="0"/>
          <w:sz w:val="30"/>
          <w:szCs w:val="30"/>
        </w:rPr>
        <w:t>证券数据来自人行</w:t>
      </w:r>
      <w:r>
        <w:rPr>
          <w:rFonts w:eastAsia="仿宋_GB2312" w:hint="eastAsia"/>
          <w:kern w:val="0"/>
          <w:sz w:val="30"/>
          <w:szCs w:val="30"/>
        </w:rPr>
        <w:t>恩施州中心支行</w:t>
      </w:r>
      <w:r>
        <w:rPr>
          <w:rFonts w:eastAsia="仿宋_GB2312"/>
          <w:kern w:val="0"/>
          <w:sz w:val="30"/>
          <w:szCs w:val="30"/>
        </w:rPr>
        <w:t>；保险数据来自恩施银保监分局；文化、体育</w:t>
      </w:r>
      <w:r>
        <w:rPr>
          <w:rFonts w:eastAsia="仿宋_GB2312" w:hint="eastAsia"/>
          <w:kern w:val="0"/>
          <w:sz w:val="30"/>
          <w:szCs w:val="30"/>
        </w:rPr>
        <w:t>、</w:t>
      </w:r>
      <w:r>
        <w:rPr>
          <w:rFonts w:eastAsia="仿宋_GB2312"/>
          <w:kern w:val="0"/>
          <w:sz w:val="30"/>
          <w:szCs w:val="30"/>
        </w:rPr>
        <w:t>旅游</w:t>
      </w:r>
      <w:r>
        <w:rPr>
          <w:rFonts w:eastAsia="仿宋_GB2312" w:hint="eastAsia"/>
          <w:kern w:val="0"/>
          <w:sz w:val="30"/>
          <w:szCs w:val="30"/>
        </w:rPr>
        <w:t>和广电</w:t>
      </w:r>
      <w:r>
        <w:rPr>
          <w:rFonts w:eastAsia="仿宋_GB2312"/>
          <w:kern w:val="0"/>
          <w:sz w:val="30"/>
          <w:szCs w:val="30"/>
        </w:rPr>
        <w:t>数据来自</w:t>
      </w:r>
      <w:r>
        <w:rPr>
          <w:rFonts w:eastAsia="仿宋_GB2312" w:hint="eastAsia"/>
          <w:kern w:val="0"/>
          <w:sz w:val="30"/>
          <w:szCs w:val="30"/>
        </w:rPr>
        <w:t>州</w:t>
      </w:r>
      <w:r>
        <w:rPr>
          <w:rFonts w:eastAsia="仿宋_GB2312"/>
          <w:kern w:val="0"/>
          <w:sz w:val="30"/>
          <w:szCs w:val="30"/>
        </w:rPr>
        <w:t>文化和旅游局；学校及学生数据来自</w:t>
      </w:r>
      <w:r>
        <w:rPr>
          <w:rFonts w:eastAsia="仿宋_GB2312" w:hint="eastAsia"/>
          <w:kern w:val="0"/>
          <w:sz w:val="30"/>
          <w:szCs w:val="30"/>
        </w:rPr>
        <w:t>州</w:t>
      </w:r>
      <w:r>
        <w:rPr>
          <w:rFonts w:eastAsia="仿宋_GB2312"/>
          <w:kern w:val="0"/>
          <w:sz w:val="30"/>
          <w:szCs w:val="30"/>
        </w:rPr>
        <w:t>教育局；科技成果和创新平台数据来自</w:t>
      </w:r>
      <w:proofErr w:type="gramStart"/>
      <w:r>
        <w:rPr>
          <w:rFonts w:eastAsia="仿宋_GB2312"/>
          <w:kern w:val="0"/>
          <w:sz w:val="30"/>
          <w:szCs w:val="30"/>
        </w:rPr>
        <w:t>州科技</w:t>
      </w:r>
      <w:proofErr w:type="gramEnd"/>
      <w:r>
        <w:rPr>
          <w:rFonts w:eastAsia="仿宋_GB2312"/>
          <w:kern w:val="0"/>
          <w:sz w:val="30"/>
          <w:szCs w:val="30"/>
        </w:rPr>
        <w:t>局</w:t>
      </w:r>
      <w:r>
        <w:rPr>
          <w:rFonts w:eastAsia="仿宋_GB2312" w:hint="eastAsia"/>
          <w:kern w:val="0"/>
          <w:sz w:val="30"/>
          <w:szCs w:val="30"/>
        </w:rPr>
        <w:t>；</w:t>
      </w:r>
      <w:r>
        <w:rPr>
          <w:rFonts w:eastAsia="仿宋_GB2312"/>
          <w:kern w:val="0"/>
          <w:sz w:val="30"/>
          <w:szCs w:val="30"/>
        </w:rPr>
        <w:t>居民最低生活保障和特困人员救济等数据来自州民政局；优抚对象数据来自州退役军人事务管理局</w:t>
      </w:r>
      <w:r>
        <w:rPr>
          <w:rFonts w:eastAsia="仿宋_GB2312" w:hint="eastAsia"/>
          <w:kern w:val="0"/>
          <w:sz w:val="30"/>
          <w:szCs w:val="30"/>
        </w:rPr>
        <w:t>；用电数据</w:t>
      </w:r>
      <w:proofErr w:type="gramStart"/>
      <w:r>
        <w:rPr>
          <w:rFonts w:eastAsia="仿宋_GB2312" w:hint="eastAsia"/>
          <w:kern w:val="0"/>
          <w:sz w:val="30"/>
          <w:szCs w:val="30"/>
        </w:rPr>
        <w:t>来自国网恩施州</w:t>
      </w:r>
      <w:proofErr w:type="gramEnd"/>
      <w:r>
        <w:rPr>
          <w:rFonts w:eastAsia="仿宋_GB2312" w:hint="eastAsia"/>
          <w:kern w:val="0"/>
          <w:sz w:val="30"/>
          <w:szCs w:val="30"/>
        </w:rPr>
        <w:t>供电公司；</w:t>
      </w:r>
      <w:r>
        <w:rPr>
          <w:rFonts w:eastAsia="仿宋_GB2312"/>
          <w:kern w:val="0"/>
          <w:sz w:val="30"/>
          <w:szCs w:val="30"/>
        </w:rPr>
        <w:t>环境监测数据来自州生态环境局；气温、降水量</w:t>
      </w:r>
      <w:r>
        <w:rPr>
          <w:rFonts w:eastAsia="仿宋_GB2312" w:hint="eastAsia"/>
          <w:kern w:val="0"/>
          <w:sz w:val="30"/>
          <w:szCs w:val="30"/>
        </w:rPr>
        <w:t>和</w:t>
      </w:r>
      <w:r>
        <w:rPr>
          <w:rFonts w:eastAsia="仿宋_GB2312"/>
          <w:kern w:val="0"/>
          <w:sz w:val="30"/>
          <w:szCs w:val="30"/>
        </w:rPr>
        <w:t>日照数据来自州气象局；林业</w:t>
      </w:r>
      <w:r>
        <w:rPr>
          <w:rFonts w:eastAsia="仿宋_GB2312" w:hint="eastAsia"/>
          <w:kern w:val="0"/>
          <w:sz w:val="30"/>
          <w:szCs w:val="30"/>
        </w:rPr>
        <w:t>和</w:t>
      </w:r>
      <w:r>
        <w:rPr>
          <w:rFonts w:eastAsia="仿宋_GB2312"/>
          <w:kern w:val="0"/>
          <w:sz w:val="30"/>
          <w:szCs w:val="30"/>
        </w:rPr>
        <w:t>自然保护区数据来自州林业局；安全生产数据来自州应急管理局；价格指数</w:t>
      </w:r>
      <w:r>
        <w:rPr>
          <w:rFonts w:eastAsia="仿宋_GB2312" w:hint="eastAsia"/>
          <w:kern w:val="0"/>
          <w:sz w:val="30"/>
          <w:szCs w:val="30"/>
        </w:rPr>
        <w:t>和居民</w:t>
      </w:r>
      <w:r>
        <w:rPr>
          <w:rFonts w:eastAsia="仿宋_GB2312"/>
          <w:kern w:val="0"/>
          <w:sz w:val="30"/>
          <w:szCs w:val="30"/>
        </w:rPr>
        <w:t>收支数据来自州调查队；其余数据均来自州统计局。</w:t>
      </w:r>
    </w:p>
    <w:p w:rsidR="00EA6885" w:rsidRDefault="00EA6885">
      <w:pPr>
        <w:widowControl w:val="0"/>
        <w:spacing w:line="560" w:lineRule="exact"/>
        <w:ind w:firstLine="576"/>
        <w:jc w:val="left"/>
        <w:rPr>
          <w:rFonts w:eastAsia="仿宋_GB2312"/>
          <w:kern w:val="0"/>
          <w:sz w:val="30"/>
          <w:szCs w:val="30"/>
          <w:highlight w:val="yellow"/>
        </w:rPr>
      </w:pPr>
    </w:p>
    <w:sectPr w:rsidR="00EA6885">
      <w:headerReference w:type="even" r:id="rId20"/>
      <w:headerReference w:type="default" r:id="rId21"/>
      <w:footerReference w:type="even" r:id="rId22"/>
      <w:footerReference w:type="default" r:id="rId23"/>
      <w:pgSz w:w="11907" w:h="16840"/>
      <w:pgMar w:top="1701" w:right="1701" w:bottom="1701" w:left="1701" w:header="851" w:footer="1418" w:gutter="0"/>
      <w:cols w:space="720"/>
      <w:docGrid w:type="linesAndChars" w:linePitch="312" w:charSpace="-25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7F" w:rsidRDefault="007E707F" w:rsidP="00C75A25">
      <w:pPr>
        <w:spacing w:line="240" w:lineRule="auto"/>
        <w:ind w:firstLine="420"/>
      </w:pPr>
      <w:r>
        <w:separator/>
      </w:r>
    </w:p>
  </w:endnote>
  <w:endnote w:type="continuationSeparator" w:id="0">
    <w:p w:rsidR="007E707F" w:rsidRDefault="007E707F" w:rsidP="00C75A25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永中宋体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0000000000000000000"/>
    <w:charset w:val="86"/>
    <w:family w:val="roman"/>
    <w:notTrueType/>
    <w:pitch w:val="default"/>
  </w:font>
  <w:font w:name="等线"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885" w:rsidRDefault="007E707F">
    <w:pPr>
      <w:pStyle w:val="a8"/>
      <w:ind w:firstLineChars="50" w:firstLine="140"/>
      <w:rPr>
        <w:sz w:val="28"/>
        <w:szCs w:val="28"/>
      </w:rPr>
    </w:pPr>
    <w:r>
      <w:rPr>
        <w:kern w:val="0"/>
        <w:sz w:val="28"/>
        <w:szCs w:val="28"/>
      </w:rPr>
      <w:t>-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14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885" w:rsidRDefault="007E707F">
    <w:pPr>
      <w:pStyle w:val="a8"/>
      <w:ind w:right="320" w:firstLine="560"/>
      <w:jc w:val="right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6885" w:rsidRDefault="007E707F">
                          <w:pPr>
                            <w:pStyle w:val="a8"/>
                            <w:ind w:right="320" w:firstLine="560"/>
                            <w:jc w:val="right"/>
                          </w:pPr>
                          <w:r>
                            <w:rPr>
                              <w:kern w:val="0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75A25">
                            <w:rPr>
                              <w:noProof/>
                              <w:kern w:val="0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EA6885" w:rsidRDefault="007E707F">
                    <w:pPr>
                      <w:pStyle w:val="a8"/>
                      <w:ind w:right="320" w:firstLine="560"/>
                      <w:jc w:val="right"/>
                    </w:pPr>
                    <w:r>
                      <w:rPr>
                        <w:kern w:val="0"/>
                        <w:sz w:val="28"/>
                        <w:szCs w:val="28"/>
                      </w:rPr>
                      <w:t>-</w:t>
                    </w:r>
                    <w:r>
                      <w:rPr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kern w:val="0"/>
                        <w:sz w:val="28"/>
                        <w:szCs w:val="28"/>
                      </w:rPr>
                      <w:fldChar w:fldCharType="separate"/>
                    </w:r>
                    <w:r w:rsidR="00C75A25">
                      <w:rPr>
                        <w:noProof/>
                        <w:kern w:val="0"/>
                        <w:sz w:val="28"/>
                        <w:szCs w:val="28"/>
                      </w:rPr>
                      <w:t>6</w:t>
                    </w:r>
                    <w:r>
                      <w:rPr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kern w:val="0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7F" w:rsidRDefault="007E707F" w:rsidP="00C75A25">
      <w:pPr>
        <w:spacing w:line="240" w:lineRule="auto"/>
        <w:ind w:firstLine="420"/>
      </w:pPr>
      <w:r>
        <w:separator/>
      </w:r>
    </w:p>
  </w:footnote>
  <w:footnote w:type="continuationSeparator" w:id="0">
    <w:p w:rsidR="007E707F" w:rsidRDefault="007E707F" w:rsidP="00C75A25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885" w:rsidRDefault="00EA6885">
    <w:pPr>
      <w:pStyle w:val="a9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885" w:rsidRDefault="00EA6885">
    <w:pPr>
      <w:pStyle w:val="a9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A84D18"/>
    <w:multiLevelType w:val="singleLevel"/>
    <w:tmpl w:val="F0A84D1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420"/>
  <w:drawingGridHorizontalSpacing w:val="99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19"/>
    <w:rsid w:val="00004368"/>
    <w:rsid w:val="0000600F"/>
    <w:rsid w:val="00006B95"/>
    <w:rsid w:val="00006E3F"/>
    <w:rsid w:val="000107E8"/>
    <w:rsid w:val="00010AE7"/>
    <w:rsid w:val="00011F6A"/>
    <w:rsid w:val="00013A2D"/>
    <w:rsid w:val="00014126"/>
    <w:rsid w:val="0001451B"/>
    <w:rsid w:val="000172B3"/>
    <w:rsid w:val="000205C6"/>
    <w:rsid w:val="00020FA1"/>
    <w:rsid w:val="00021A44"/>
    <w:rsid w:val="00021AEA"/>
    <w:rsid w:val="00021B27"/>
    <w:rsid w:val="00021B39"/>
    <w:rsid w:val="0002266B"/>
    <w:rsid w:val="0002614E"/>
    <w:rsid w:val="00026EF2"/>
    <w:rsid w:val="0002731C"/>
    <w:rsid w:val="00027463"/>
    <w:rsid w:val="000305D2"/>
    <w:rsid w:val="0003186F"/>
    <w:rsid w:val="00031CE9"/>
    <w:rsid w:val="000324D6"/>
    <w:rsid w:val="000341AF"/>
    <w:rsid w:val="000347E6"/>
    <w:rsid w:val="00036BC2"/>
    <w:rsid w:val="000427A1"/>
    <w:rsid w:val="000446AD"/>
    <w:rsid w:val="00046FD1"/>
    <w:rsid w:val="000471B2"/>
    <w:rsid w:val="00047ABF"/>
    <w:rsid w:val="00054B06"/>
    <w:rsid w:val="000553C2"/>
    <w:rsid w:val="00056C3A"/>
    <w:rsid w:val="000572FE"/>
    <w:rsid w:val="00057404"/>
    <w:rsid w:val="00057F30"/>
    <w:rsid w:val="0006062F"/>
    <w:rsid w:val="00062031"/>
    <w:rsid w:val="00062475"/>
    <w:rsid w:val="00062772"/>
    <w:rsid w:val="00062E2B"/>
    <w:rsid w:val="000641A6"/>
    <w:rsid w:val="0006469C"/>
    <w:rsid w:val="00065B03"/>
    <w:rsid w:val="00066460"/>
    <w:rsid w:val="00067C02"/>
    <w:rsid w:val="00067CB0"/>
    <w:rsid w:val="000702F1"/>
    <w:rsid w:val="000711C0"/>
    <w:rsid w:val="000718BE"/>
    <w:rsid w:val="00072960"/>
    <w:rsid w:val="0007303A"/>
    <w:rsid w:val="00073FB8"/>
    <w:rsid w:val="000748F5"/>
    <w:rsid w:val="00077293"/>
    <w:rsid w:val="00080154"/>
    <w:rsid w:val="00082AF5"/>
    <w:rsid w:val="000864D9"/>
    <w:rsid w:val="00086F9E"/>
    <w:rsid w:val="000870C5"/>
    <w:rsid w:val="00087BA3"/>
    <w:rsid w:val="00090750"/>
    <w:rsid w:val="0009113D"/>
    <w:rsid w:val="00092857"/>
    <w:rsid w:val="00092D7A"/>
    <w:rsid w:val="000949B4"/>
    <w:rsid w:val="00094D01"/>
    <w:rsid w:val="00095627"/>
    <w:rsid w:val="00096831"/>
    <w:rsid w:val="00096FC7"/>
    <w:rsid w:val="000A0AC7"/>
    <w:rsid w:val="000A0F26"/>
    <w:rsid w:val="000A1408"/>
    <w:rsid w:val="000A512A"/>
    <w:rsid w:val="000A51A4"/>
    <w:rsid w:val="000A5F6A"/>
    <w:rsid w:val="000A6C01"/>
    <w:rsid w:val="000A7838"/>
    <w:rsid w:val="000A7A2E"/>
    <w:rsid w:val="000B2B5C"/>
    <w:rsid w:val="000B3AAA"/>
    <w:rsid w:val="000B60E6"/>
    <w:rsid w:val="000B6472"/>
    <w:rsid w:val="000C027E"/>
    <w:rsid w:val="000C04BF"/>
    <w:rsid w:val="000C0C80"/>
    <w:rsid w:val="000C1694"/>
    <w:rsid w:val="000C31AE"/>
    <w:rsid w:val="000C35C0"/>
    <w:rsid w:val="000C532C"/>
    <w:rsid w:val="000C5FFB"/>
    <w:rsid w:val="000C6529"/>
    <w:rsid w:val="000C72C9"/>
    <w:rsid w:val="000C7A23"/>
    <w:rsid w:val="000D1871"/>
    <w:rsid w:val="000D1F04"/>
    <w:rsid w:val="000D3926"/>
    <w:rsid w:val="000D3C19"/>
    <w:rsid w:val="000D4B29"/>
    <w:rsid w:val="000D4B67"/>
    <w:rsid w:val="000D5277"/>
    <w:rsid w:val="000D63D7"/>
    <w:rsid w:val="000D6D89"/>
    <w:rsid w:val="000D7F3D"/>
    <w:rsid w:val="000E090D"/>
    <w:rsid w:val="000E1A6B"/>
    <w:rsid w:val="000E2819"/>
    <w:rsid w:val="000E33E7"/>
    <w:rsid w:val="000E3AB6"/>
    <w:rsid w:val="000E7701"/>
    <w:rsid w:val="000F25BC"/>
    <w:rsid w:val="000F2C16"/>
    <w:rsid w:val="000F4758"/>
    <w:rsid w:val="000F4913"/>
    <w:rsid w:val="000F5095"/>
    <w:rsid w:val="000F6BD7"/>
    <w:rsid w:val="000F7654"/>
    <w:rsid w:val="001036E1"/>
    <w:rsid w:val="00105B56"/>
    <w:rsid w:val="001065DC"/>
    <w:rsid w:val="00106909"/>
    <w:rsid w:val="00106E52"/>
    <w:rsid w:val="00107023"/>
    <w:rsid w:val="001070D7"/>
    <w:rsid w:val="00107392"/>
    <w:rsid w:val="00107D6C"/>
    <w:rsid w:val="00111CB5"/>
    <w:rsid w:val="001122A3"/>
    <w:rsid w:val="00115047"/>
    <w:rsid w:val="001155A1"/>
    <w:rsid w:val="00115979"/>
    <w:rsid w:val="00115AC9"/>
    <w:rsid w:val="00115EF3"/>
    <w:rsid w:val="00116926"/>
    <w:rsid w:val="00120BDF"/>
    <w:rsid w:val="00121568"/>
    <w:rsid w:val="00122D33"/>
    <w:rsid w:val="001234B9"/>
    <w:rsid w:val="0012440D"/>
    <w:rsid w:val="001244D9"/>
    <w:rsid w:val="00124D63"/>
    <w:rsid w:val="00124E81"/>
    <w:rsid w:val="001269B8"/>
    <w:rsid w:val="00127FC1"/>
    <w:rsid w:val="001304C7"/>
    <w:rsid w:val="00130D71"/>
    <w:rsid w:val="00131476"/>
    <w:rsid w:val="0013237E"/>
    <w:rsid w:val="001357BC"/>
    <w:rsid w:val="001372E5"/>
    <w:rsid w:val="00140DB5"/>
    <w:rsid w:val="0014208E"/>
    <w:rsid w:val="00142101"/>
    <w:rsid w:val="001423DC"/>
    <w:rsid w:val="0014437F"/>
    <w:rsid w:val="0014508E"/>
    <w:rsid w:val="00146926"/>
    <w:rsid w:val="00146FDC"/>
    <w:rsid w:val="00147044"/>
    <w:rsid w:val="00147E63"/>
    <w:rsid w:val="00150843"/>
    <w:rsid w:val="00152A75"/>
    <w:rsid w:val="00153180"/>
    <w:rsid w:val="001577A3"/>
    <w:rsid w:val="00157974"/>
    <w:rsid w:val="00162E4B"/>
    <w:rsid w:val="001634C9"/>
    <w:rsid w:val="00165004"/>
    <w:rsid w:val="0016571D"/>
    <w:rsid w:val="00165DB6"/>
    <w:rsid w:val="001661A2"/>
    <w:rsid w:val="001666EF"/>
    <w:rsid w:val="0016697D"/>
    <w:rsid w:val="00167946"/>
    <w:rsid w:val="00167D01"/>
    <w:rsid w:val="0017072B"/>
    <w:rsid w:val="00172A27"/>
    <w:rsid w:val="00172AFA"/>
    <w:rsid w:val="001739D6"/>
    <w:rsid w:val="00175265"/>
    <w:rsid w:val="00175975"/>
    <w:rsid w:val="00176688"/>
    <w:rsid w:val="00181E9F"/>
    <w:rsid w:val="00182462"/>
    <w:rsid w:val="001826EA"/>
    <w:rsid w:val="00182794"/>
    <w:rsid w:val="001830AB"/>
    <w:rsid w:val="0018590E"/>
    <w:rsid w:val="00186038"/>
    <w:rsid w:val="001900FE"/>
    <w:rsid w:val="00190D8D"/>
    <w:rsid w:val="00191477"/>
    <w:rsid w:val="00194734"/>
    <w:rsid w:val="001965D3"/>
    <w:rsid w:val="001A1858"/>
    <w:rsid w:val="001A1C48"/>
    <w:rsid w:val="001A1D0A"/>
    <w:rsid w:val="001A20CB"/>
    <w:rsid w:val="001A66A7"/>
    <w:rsid w:val="001B03B9"/>
    <w:rsid w:val="001B14D6"/>
    <w:rsid w:val="001B1ED8"/>
    <w:rsid w:val="001B34FA"/>
    <w:rsid w:val="001B3598"/>
    <w:rsid w:val="001B36B0"/>
    <w:rsid w:val="001B4790"/>
    <w:rsid w:val="001B534F"/>
    <w:rsid w:val="001B6542"/>
    <w:rsid w:val="001C3662"/>
    <w:rsid w:val="001C3957"/>
    <w:rsid w:val="001C516B"/>
    <w:rsid w:val="001C5201"/>
    <w:rsid w:val="001C5EC8"/>
    <w:rsid w:val="001C602A"/>
    <w:rsid w:val="001C672E"/>
    <w:rsid w:val="001C79FD"/>
    <w:rsid w:val="001C7B4D"/>
    <w:rsid w:val="001D1B91"/>
    <w:rsid w:val="001D2686"/>
    <w:rsid w:val="001D34DA"/>
    <w:rsid w:val="001D375C"/>
    <w:rsid w:val="001D3A5A"/>
    <w:rsid w:val="001D3CAC"/>
    <w:rsid w:val="001D3CF7"/>
    <w:rsid w:val="001D4128"/>
    <w:rsid w:val="001D41B2"/>
    <w:rsid w:val="001D5202"/>
    <w:rsid w:val="001D5492"/>
    <w:rsid w:val="001D6388"/>
    <w:rsid w:val="001D6754"/>
    <w:rsid w:val="001D6817"/>
    <w:rsid w:val="001E01D3"/>
    <w:rsid w:val="001E04D9"/>
    <w:rsid w:val="001E0B8D"/>
    <w:rsid w:val="001E0FE6"/>
    <w:rsid w:val="001E130C"/>
    <w:rsid w:val="001E1E36"/>
    <w:rsid w:val="001E5C8F"/>
    <w:rsid w:val="001E7EF2"/>
    <w:rsid w:val="001F1941"/>
    <w:rsid w:val="001F2FD7"/>
    <w:rsid w:val="001F3E59"/>
    <w:rsid w:val="001F5B34"/>
    <w:rsid w:val="001F652B"/>
    <w:rsid w:val="001F6CFE"/>
    <w:rsid w:val="0020069E"/>
    <w:rsid w:val="002006D0"/>
    <w:rsid w:val="00200A8F"/>
    <w:rsid w:val="00203E51"/>
    <w:rsid w:val="002052D9"/>
    <w:rsid w:val="00205570"/>
    <w:rsid w:val="00210E91"/>
    <w:rsid w:val="002123E8"/>
    <w:rsid w:val="0021243F"/>
    <w:rsid w:val="0021326E"/>
    <w:rsid w:val="002132D5"/>
    <w:rsid w:val="00214664"/>
    <w:rsid w:val="002155BC"/>
    <w:rsid w:val="002159EC"/>
    <w:rsid w:val="00215EB0"/>
    <w:rsid w:val="00220B63"/>
    <w:rsid w:val="002230D8"/>
    <w:rsid w:val="002243FB"/>
    <w:rsid w:val="002251DB"/>
    <w:rsid w:val="00226FB8"/>
    <w:rsid w:val="00227AEF"/>
    <w:rsid w:val="00230129"/>
    <w:rsid w:val="00230145"/>
    <w:rsid w:val="0023043D"/>
    <w:rsid w:val="002314FA"/>
    <w:rsid w:val="00233473"/>
    <w:rsid w:val="00233646"/>
    <w:rsid w:val="00235FDF"/>
    <w:rsid w:val="002363BF"/>
    <w:rsid w:val="002370A8"/>
    <w:rsid w:val="002402A1"/>
    <w:rsid w:val="00243523"/>
    <w:rsid w:val="0024364D"/>
    <w:rsid w:val="002436B9"/>
    <w:rsid w:val="00245372"/>
    <w:rsid w:val="002457E9"/>
    <w:rsid w:val="00245A86"/>
    <w:rsid w:val="00246004"/>
    <w:rsid w:val="0024603E"/>
    <w:rsid w:val="00246917"/>
    <w:rsid w:val="0024719F"/>
    <w:rsid w:val="00247496"/>
    <w:rsid w:val="0025274B"/>
    <w:rsid w:val="002554B7"/>
    <w:rsid w:val="0025645F"/>
    <w:rsid w:val="00256A64"/>
    <w:rsid w:val="00256D98"/>
    <w:rsid w:val="0025754D"/>
    <w:rsid w:val="00257D6A"/>
    <w:rsid w:val="00260B1A"/>
    <w:rsid w:val="00261B90"/>
    <w:rsid w:val="002624CD"/>
    <w:rsid w:val="002654CD"/>
    <w:rsid w:val="002656AA"/>
    <w:rsid w:val="00267707"/>
    <w:rsid w:val="00272083"/>
    <w:rsid w:val="00272344"/>
    <w:rsid w:val="00272FE6"/>
    <w:rsid w:val="002734F0"/>
    <w:rsid w:val="00273638"/>
    <w:rsid w:val="0027390C"/>
    <w:rsid w:val="0027441B"/>
    <w:rsid w:val="00274603"/>
    <w:rsid w:val="00276E52"/>
    <w:rsid w:val="0027798D"/>
    <w:rsid w:val="00281445"/>
    <w:rsid w:val="002815AA"/>
    <w:rsid w:val="002822B7"/>
    <w:rsid w:val="00282518"/>
    <w:rsid w:val="002826C0"/>
    <w:rsid w:val="00283969"/>
    <w:rsid w:val="00284854"/>
    <w:rsid w:val="00284A05"/>
    <w:rsid w:val="00285701"/>
    <w:rsid w:val="0028588E"/>
    <w:rsid w:val="00287C1D"/>
    <w:rsid w:val="00291586"/>
    <w:rsid w:val="002934F9"/>
    <w:rsid w:val="00294689"/>
    <w:rsid w:val="00295233"/>
    <w:rsid w:val="00296849"/>
    <w:rsid w:val="00297C20"/>
    <w:rsid w:val="00297D0D"/>
    <w:rsid w:val="002A0BD1"/>
    <w:rsid w:val="002A1C74"/>
    <w:rsid w:val="002A5B9D"/>
    <w:rsid w:val="002A6456"/>
    <w:rsid w:val="002A68E8"/>
    <w:rsid w:val="002B1D75"/>
    <w:rsid w:val="002B35EA"/>
    <w:rsid w:val="002B3817"/>
    <w:rsid w:val="002B3CFC"/>
    <w:rsid w:val="002C00F4"/>
    <w:rsid w:val="002C0182"/>
    <w:rsid w:val="002C0815"/>
    <w:rsid w:val="002C0904"/>
    <w:rsid w:val="002C0C1D"/>
    <w:rsid w:val="002C2455"/>
    <w:rsid w:val="002C3B15"/>
    <w:rsid w:val="002C3F2E"/>
    <w:rsid w:val="002C4C49"/>
    <w:rsid w:val="002C5F6E"/>
    <w:rsid w:val="002C6A00"/>
    <w:rsid w:val="002C779E"/>
    <w:rsid w:val="002D19C9"/>
    <w:rsid w:val="002D249F"/>
    <w:rsid w:val="002D2B9C"/>
    <w:rsid w:val="002D6C7A"/>
    <w:rsid w:val="002D700D"/>
    <w:rsid w:val="002D7947"/>
    <w:rsid w:val="002E0BC4"/>
    <w:rsid w:val="002E1CCA"/>
    <w:rsid w:val="002E247C"/>
    <w:rsid w:val="002E2C1A"/>
    <w:rsid w:val="002E372C"/>
    <w:rsid w:val="002E4B76"/>
    <w:rsid w:val="002E56D6"/>
    <w:rsid w:val="002E5BD4"/>
    <w:rsid w:val="002F0125"/>
    <w:rsid w:val="002F3992"/>
    <w:rsid w:val="002F4343"/>
    <w:rsid w:val="002F47CE"/>
    <w:rsid w:val="002F7A7A"/>
    <w:rsid w:val="00300A0B"/>
    <w:rsid w:val="00300C7D"/>
    <w:rsid w:val="00301C77"/>
    <w:rsid w:val="00303DD9"/>
    <w:rsid w:val="003040DD"/>
    <w:rsid w:val="00304EE8"/>
    <w:rsid w:val="00305106"/>
    <w:rsid w:val="00305569"/>
    <w:rsid w:val="00305684"/>
    <w:rsid w:val="00307930"/>
    <w:rsid w:val="00307F95"/>
    <w:rsid w:val="0031235A"/>
    <w:rsid w:val="003126E6"/>
    <w:rsid w:val="003138B4"/>
    <w:rsid w:val="00313AD3"/>
    <w:rsid w:val="00317430"/>
    <w:rsid w:val="0031788F"/>
    <w:rsid w:val="003201B9"/>
    <w:rsid w:val="00320FD8"/>
    <w:rsid w:val="00321296"/>
    <w:rsid w:val="0032279F"/>
    <w:rsid w:val="003227C4"/>
    <w:rsid w:val="00324D07"/>
    <w:rsid w:val="00324F5C"/>
    <w:rsid w:val="003256D4"/>
    <w:rsid w:val="003273EA"/>
    <w:rsid w:val="00331743"/>
    <w:rsid w:val="0033176F"/>
    <w:rsid w:val="00331C69"/>
    <w:rsid w:val="00331FE9"/>
    <w:rsid w:val="003326C5"/>
    <w:rsid w:val="003347AC"/>
    <w:rsid w:val="0033496E"/>
    <w:rsid w:val="003353D8"/>
    <w:rsid w:val="00335DEC"/>
    <w:rsid w:val="00337F19"/>
    <w:rsid w:val="0034043A"/>
    <w:rsid w:val="00340B09"/>
    <w:rsid w:val="0034119B"/>
    <w:rsid w:val="003438B6"/>
    <w:rsid w:val="00343D1E"/>
    <w:rsid w:val="00344AEA"/>
    <w:rsid w:val="003452E3"/>
    <w:rsid w:val="0034663D"/>
    <w:rsid w:val="00347411"/>
    <w:rsid w:val="003522BE"/>
    <w:rsid w:val="003528EE"/>
    <w:rsid w:val="00353891"/>
    <w:rsid w:val="00353F73"/>
    <w:rsid w:val="003554E4"/>
    <w:rsid w:val="00355D0C"/>
    <w:rsid w:val="00355E06"/>
    <w:rsid w:val="00356663"/>
    <w:rsid w:val="00360291"/>
    <w:rsid w:val="00360975"/>
    <w:rsid w:val="00360E22"/>
    <w:rsid w:val="00360EB7"/>
    <w:rsid w:val="00361591"/>
    <w:rsid w:val="00362283"/>
    <w:rsid w:val="003636E7"/>
    <w:rsid w:val="003642F7"/>
    <w:rsid w:val="00365633"/>
    <w:rsid w:val="003657B8"/>
    <w:rsid w:val="00365828"/>
    <w:rsid w:val="003662C3"/>
    <w:rsid w:val="00366C49"/>
    <w:rsid w:val="00367C1C"/>
    <w:rsid w:val="0037086E"/>
    <w:rsid w:val="00370BD3"/>
    <w:rsid w:val="003770B6"/>
    <w:rsid w:val="00377D87"/>
    <w:rsid w:val="003825CA"/>
    <w:rsid w:val="00382C4E"/>
    <w:rsid w:val="003836E0"/>
    <w:rsid w:val="00383DBE"/>
    <w:rsid w:val="00385508"/>
    <w:rsid w:val="00385DC4"/>
    <w:rsid w:val="00386E03"/>
    <w:rsid w:val="0038701E"/>
    <w:rsid w:val="00387D1E"/>
    <w:rsid w:val="003902CB"/>
    <w:rsid w:val="00390B5B"/>
    <w:rsid w:val="00391268"/>
    <w:rsid w:val="003917B6"/>
    <w:rsid w:val="003929FB"/>
    <w:rsid w:val="00396754"/>
    <w:rsid w:val="00397005"/>
    <w:rsid w:val="003A0435"/>
    <w:rsid w:val="003A0784"/>
    <w:rsid w:val="003A0DCA"/>
    <w:rsid w:val="003A0E6E"/>
    <w:rsid w:val="003A25DC"/>
    <w:rsid w:val="003A34A5"/>
    <w:rsid w:val="003A5E46"/>
    <w:rsid w:val="003A5EB9"/>
    <w:rsid w:val="003A6384"/>
    <w:rsid w:val="003A6E54"/>
    <w:rsid w:val="003B0D9A"/>
    <w:rsid w:val="003B1248"/>
    <w:rsid w:val="003B1ADF"/>
    <w:rsid w:val="003B3D26"/>
    <w:rsid w:val="003B4579"/>
    <w:rsid w:val="003B45D4"/>
    <w:rsid w:val="003B4BEB"/>
    <w:rsid w:val="003B5B37"/>
    <w:rsid w:val="003C024A"/>
    <w:rsid w:val="003C175B"/>
    <w:rsid w:val="003C1ECB"/>
    <w:rsid w:val="003C2D0A"/>
    <w:rsid w:val="003C371B"/>
    <w:rsid w:val="003C45B7"/>
    <w:rsid w:val="003C4EC6"/>
    <w:rsid w:val="003C5452"/>
    <w:rsid w:val="003C638F"/>
    <w:rsid w:val="003C6538"/>
    <w:rsid w:val="003C679A"/>
    <w:rsid w:val="003C7FEE"/>
    <w:rsid w:val="003D0E4F"/>
    <w:rsid w:val="003D20C2"/>
    <w:rsid w:val="003D3528"/>
    <w:rsid w:val="003D3A83"/>
    <w:rsid w:val="003D50A1"/>
    <w:rsid w:val="003D6E4E"/>
    <w:rsid w:val="003E1529"/>
    <w:rsid w:val="003E24ED"/>
    <w:rsid w:val="003E538E"/>
    <w:rsid w:val="003E627C"/>
    <w:rsid w:val="003E7A28"/>
    <w:rsid w:val="003F2280"/>
    <w:rsid w:val="003F55F9"/>
    <w:rsid w:val="003F57BA"/>
    <w:rsid w:val="003F7F06"/>
    <w:rsid w:val="00402797"/>
    <w:rsid w:val="00404EC8"/>
    <w:rsid w:val="00405159"/>
    <w:rsid w:val="0040775E"/>
    <w:rsid w:val="00407A23"/>
    <w:rsid w:val="004110EE"/>
    <w:rsid w:val="00411640"/>
    <w:rsid w:val="004157A3"/>
    <w:rsid w:val="00417417"/>
    <w:rsid w:val="00417F9D"/>
    <w:rsid w:val="00420289"/>
    <w:rsid w:val="004209CE"/>
    <w:rsid w:val="004209F2"/>
    <w:rsid w:val="00421026"/>
    <w:rsid w:val="00421336"/>
    <w:rsid w:val="00421AC7"/>
    <w:rsid w:val="0042256E"/>
    <w:rsid w:val="004227AA"/>
    <w:rsid w:val="004251A5"/>
    <w:rsid w:val="0042521B"/>
    <w:rsid w:val="0042604B"/>
    <w:rsid w:val="004305E0"/>
    <w:rsid w:val="00430D9F"/>
    <w:rsid w:val="00431D0A"/>
    <w:rsid w:val="00431EBC"/>
    <w:rsid w:val="0043435E"/>
    <w:rsid w:val="0043627B"/>
    <w:rsid w:val="00436E48"/>
    <w:rsid w:val="00440832"/>
    <w:rsid w:val="00440BC9"/>
    <w:rsid w:val="00441C21"/>
    <w:rsid w:val="00441F02"/>
    <w:rsid w:val="00442C2E"/>
    <w:rsid w:val="0044416A"/>
    <w:rsid w:val="004444F3"/>
    <w:rsid w:val="00444708"/>
    <w:rsid w:val="004450C0"/>
    <w:rsid w:val="00446F91"/>
    <w:rsid w:val="0045002A"/>
    <w:rsid w:val="00451CC6"/>
    <w:rsid w:val="004522F8"/>
    <w:rsid w:val="004540C1"/>
    <w:rsid w:val="00454681"/>
    <w:rsid w:val="004546D8"/>
    <w:rsid w:val="00454EBB"/>
    <w:rsid w:val="00457294"/>
    <w:rsid w:val="004576A4"/>
    <w:rsid w:val="00460B2A"/>
    <w:rsid w:val="0046113B"/>
    <w:rsid w:val="004615EC"/>
    <w:rsid w:val="0046269E"/>
    <w:rsid w:val="00462B94"/>
    <w:rsid w:val="00462DB8"/>
    <w:rsid w:val="004655F9"/>
    <w:rsid w:val="004672BF"/>
    <w:rsid w:val="00467476"/>
    <w:rsid w:val="00473E8B"/>
    <w:rsid w:val="00474519"/>
    <w:rsid w:val="00474BAC"/>
    <w:rsid w:val="004757FF"/>
    <w:rsid w:val="00475F5C"/>
    <w:rsid w:val="00476811"/>
    <w:rsid w:val="0048021D"/>
    <w:rsid w:val="00480286"/>
    <w:rsid w:val="00480F28"/>
    <w:rsid w:val="00481B9D"/>
    <w:rsid w:val="00486CEE"/>
    <w:rsid w:val="00487FF0"/>
    <w:rsid w:val="00492E9F"/>
    <w:rsid w:val="00494AFD"/>
    <w:rsid w:val="00494C59"/>
    <w:rsid w:val="00495974"/>
    <w:rsid w:val="00495EC0"/>
    <w:rsid w:val="004963C2"/>
    <w:rsid w:val="00497CBF"/>
    <w:rsid w:val="004A1FAA"/>
    <w:rsid w:val="004A2C83"/>
    <w:rsid w:val="004A3009"/>
    <w:rsid w:val="004A392C"/>
    <w:rsid w:val="004A4DBE"/>
    <w:rsid w:val="004A757E"/>
    <w:rsid w:val="004A7D5D"/>
    <w:rsid w:val="004A7F2F"/>
    <w:rsid w:val="004B0068"/>
    <w:rsid w:val="004B06FE"/>
    <w:rsid w:val="004B10FC"/>
    <w:rsid w:val="004B1479"/>
    <w:rsid w:val="004B21CA"/>
    <w:rsid w:val="004B3C15"/>
    <w:rsid w:val="004B50B7"/>
    <w:rsid w:val="004B5DD5"/>
    <w:rsid w:val="004B606E"/>
    <w:rsid w:val="004C01CE"/>
    <w:rsid w:val="004C0983"/>
    <w:rsid w:val="004C128A"/>
    <w:rsid w:val="004C1F51"/>
    <w:rsid w:val="004C260B"/>
    <w:rsid w:val="004C47E0"/>
    <w:rsid w:val="004C49B0"/>
    <w:rsid w:val="004C4DC2"/>
    <w:rsid w:val="004C51E0"/>
    <w:rsid w:val="004C5289"/>
    <w:rsid w:val="004C53FC"/>
    <w:rsid w:val="004C5472"/>
    <w:rsid w:val="004C6555"/>
    <w:rsid w:val="004D1AB5"/>
    <w:rsid w:val="004D21E7"/>
    <w:rsid w:val="004D2C79"/>
    <w:rsid w:val="004D52D4"/>
    <w:rsid w:val="004D589F"/>
    <w:rsid w:val="004D6D03"/>
    <w:rsid w:val="004D6D7C"/>
    <w:rsid w:val="004D73F7"/>
    <w:rsid w:val="004D7960"/>
    <w:rsid w:val="004D7FB0"/>
    <w:rsid w:val="004E2C18"/>
    <w:rsid w:val="004E2CB1"/>
    <w:rsid w:val="004E3409"/>
    <w:rsid w:val="004E5BBA"/>
    <w:rsid w:val="004E65A2"/>
    <w:rsid w:val="004E7850"/>
    <w:rsid w:val="004E7AE2"/>
    <w:rsid w:val="004F004C"/>
    <w:rsid w:val="004F0617"/>
    <w:rsid w:val="004F06D2"/>
    <w:rsid w:val="004F1C2C"/>
    <w:rsid w:val="004F39AC"/>
    <w:rsid w:val="004F4448"/>
    <w:rsid w:val="004F5D9A"/>
    <w:rsid w:val="004F6436"/>
    <w:rsid w:val="004F6666"/>
    <w:rsid w:val="004F67E8"/>
    <w:rsid w:val="00500C49"/>
    <w:rsid w:val="0050128E"/>
    <w:rsid w:val="005018FB"/>
    <w:rsid w:val="00501CB9"/>
    <w:rsid w:val="00502C8C"/>
    <w:rsid w:val="00502F8F"/>
    <w:rsid w:val="005042FA"/>
    <w:rsid w:val="00504B7C"/>
    <w:rsid w:val="00506E55"/>
    <w:rsid w:val="00507876"/>
    <w:rsid w:val="00512959"/>
    <w:rsid w:val="00513307"/>
    <w:rsid w:val="0052338A"/>
    <w:rsid w:val="00524744"/>
    <w:rsid w:val="00525360"/>
    <w:rsid w:val="00527D9D"/>
    <w:rsid w:val="005310AA"/>
    <w:rsid w:val="0053171C"/>
    <w:rsid w:val="00532698"/>
    <w:rsid w:val="00534184"/>
    <w:rsid w:val="005357D9"/>
    <w:rsid w:val="00535858"/>
    <w:rsid w:val="00536942"/>
    <w:rsid w:val="0053752C"/>
    <w:rsid w:val="00537B8F"/>
    <w:rsid w:val="00537B96"/>
    <w:rsid w:val="00540370"/>
    <w:rsid w:val="00540D73"/>
    <w:rsid w:val="00541384"/>
    <w:rsid w:val="00541AFA"/>
    <w:rsid w:val="005439E5"/>
    <w:rsid w:val="00544B11"/>
    <w:rsid w:val="00545F40"/>
    <w:rsid w:val="00546392"/>
    <w:rsid w:val="00546807"/>
    <w:rsid w:val="00546B4F"/>
    <w:rsid w:val="00546C52"/>
    <w:rsid w:val="00547B46"/>
    <w:rsid w:val="00547C2D"/>
    <w:rsid w:val="005500A7"/>
    <w:rsid w:val="00550A0B"/>
    <w:rsid w:val="00551040"/>
    <w:rsid w:val="00552FAA"/>
    <w:rsid w:val="0055316D"/>
    <w:rsid w:val="00553331"/>
    <w:rsid w:val="00554FF6"/>
    <w:rsid w:val="00555597"/>
    <w:rsid w:val="005565E7"/>
    <w:rsid w:val="00556883"/>
    <w:rsid w:val="00556C76"/>
    <w:rsid w:val="00556DCE"/>
    <w:rsid w:val="00557B39"/>
    <w:rsid w:val="00557BEB"/>
    <w:rsid w:val="0056027C"/>
    <w:rsid w:val="00560909"/>
    <w:rsid w:val="00562751"/>
    <w:rsid w:val="0056322A"/>
    <w:rsid w:val="005640AA"/>
    <w:rsid w:val="00565343"/>
    <w:rsid w:val="00570329"/>
    <w:rsid w:val="00570763"/>
    <w:rsid w:val="00571293"/>
    <w:rsid w:val="0057191D"/>
    <w:rsid w:val="005719CA"/>
    <w:rsid w:val="00571C08"/>
    <w:rsid w:val="0057221D"/>
    <w:rsid w:val="00572419"/>
    <w:rsid w:val="005729BC"/>
    <w:rsid w:val="00572CC3"/>
    <w:rsid w:val="00573089"/>
    <w:rsid w:val="0057338D"/>
    <w:rsid w:val="0057349E"/>
    <w:rsid w:val="00574B51"/>
    <w:rsid w:val="005804D7"/>
    <w:rsid w:val="00580F34"/>
    <w:rsid w:val="00582CFA"/>
    <w:rsid w:val="00583723"/>
    <w:rsid w:val="00584A44"/>
    <w:rsid w:val="00584AC4"/>
    <w:rsid w:val="005851EE"/>
    <w:rsid w:val="0058592C"/>
    <w:rsid w:val="005874C8"/>
    <w:rsid w:val="00587F4D"/>
    <w:rsid w:val="00590867"/>
    <w:rsid w:val="00592092"/>
    <w:rsid w:val="00594B21"/>
    <w:rsid w:val="00594DCD"/>
    <w:rsid w:val="005967E8"/>
    <w:rsid w:val="00596DC1"/>
    <w:rsid w:val="005A0585"/>
    <w:rsid w:val="005A07C8"/>
    <w:rsid w:val="005A0FCA"/>
    <w:rsid w:val="005A1AD1"/>
    <w:rsid w:val="005A276D"/>
    <w:rsid w:val="005A2C1B"/>
    <w:rsid w:val="005A4AAA"/>
    <w:rsid w:val="005A56A0"/>
    <w:rsid w:val="005A62C7"/>
    <w:rsid w:val="005A78D7"/>
    <w:rsid w:val="005B0101"/>
    <w:rsid w:val="005B0433"/>
    <w:rsid w:val="005B1186"/>
    <w:rsid w:val="005B2A3E"/>
    <w:rsid w:val="005B6811"/>
    <w:rsid w:val="005B75D6"/>
    <w:rsid w:val="005C15AF"/>
    <w:rsid w:val="005C310C"/>
    <w:rsid w:val="005C3AD4"/>
    <w:rsid w:val="005C5436"/>
    <w:rsid w:val="005C5AD1"/>
    <w:rsid w:val="005C7106"/>
    <w:rsid w:val="005D0EA9"/>
    <w:rsid w:val="005D1825"/>
    <w:rsid w:val="005E0E2E"/>
    <w:rsid w:val="005E1793"/>
    <w:rsid w:val="005E36C7"/>
    <w:rsid w:val="005E3D81"/>
    <w:rsid w:val="005E4A41"/>
    <w:rsid w:val="005E5DF7"/>
    <w:rsid w:val="005E67BF"/>
    <w:rsid w:val="005E7040"/>
    <w:rsid w:val="005F4116"/>
    <w:rsid w:val="005F76F5"/>
    <w:rsid w:val="00600A4C"/>
    <w:rsid w:val="0060520C"/>
    <w:rsid w:val="00606248"/>
    <w:rsid w:val="00606669"/>
    <w:rsid w:val="006068AA"/>
    <w:rsid w:val="00606EF8"/>
    <w:rsid w:val="006113DD"/>
    <w:rsid w:val="00614637"/>
    <w:rsid w:val="006149AC"/>
    <w:rsid w:val="006171A2"/>
    <w:rsid w:val="00617C7F"/>
    <w:rsid w:val="006203EE"/>
    <w:rsid w:val="00620B3B"/>
    <w:rsid w:val="00621E48"/>
    <w:rsid w:val="00622EC9"/>
    <w:rsid w:val="00623BA1"/>
    <w:rsid w:val="00624CB0"/>
    <w:rsid w:val="00625092"/>
    <w:rsid w:val="00627E43"/>
    <w:rsid w:val="00627F90"/>
    <w:rsid w:val="0063135D"/>
    <w:rsid w:val="00631C89"/>
    <w:rsid w:val="00631F1C"/>
    <w:rsid w:val="00632552"/>
    <w:rsid w:val="00632A35"/>
    <w:rsid w:val="00636781"/>
    <w:rsid w:val="006368B4"/>
    <w:rsid w:val="0063717B"/>
    <w:rsid w:val="00637C4F"/>
    <w:rsid w:val="00644FBE"/>
    <w:rsid w:val="00645B7F"/>
    <w:rsid w:val="0064621B"/>
    <w:rsid w:val="006476B8"/>
    <w:rsid w:val="00651C9E"/>
    <w:rsid w:val="006522AB"/>
    <w:rsid w:val="0065231D"/>
    <w:rsid w:val="00652A9F"/>
    <w:rsid w:val="00653F64"/>
    <w:rsid w:val="00654C3D"/>
    <w:rsid w:val="00655A0A"/>
    <w:rsid w:val="006568E8"/>
    <w:rsid w:val="00660287"/>
    <w:rsid w:val="006614AC"/>
    <w:rsid w:val="00662259"/>
    <w:rsid w:val="00662CDE"/>
    <w:rsid w:val="00664A02"/>
    <w:rsid w:val="00665E8A"/>
    <w:rsid w:val="00666102"/>
    <w:rsid w:val="006663CC"/>
    <w:rsid w:val="00666A32"/>
    <w:rsid w:val="00667498"/>
    <w:rsid w:val="006706C7"/>
    <w:rsid w:val="00670740"/>
    <w:rsid w:val="006714BD"/>
    <w:rsid w:val="0067188B"/>
    <w:rsid w:val="00672475"/>
    <w:rsid w:val="006731C1"/>
    <w:rsid w:val="006734A8"/>
    <w:rsid w:val="00675588"/>
    <w:rsid w:val="006760A5"/>
    <w:rsid w:val="006761CE"/>
    <w:rsid w:val="0067769E"/>
    <w:rsid w:val="006835B8"/>
    <w:rsid w:val="00683BB4"/>
    <w:rsid w:val="00685DDB"/>
    <w:rsid w:val="00685EF7"/>
    <w:rsid w:val="00687E00"/>
    <w:rsid w:val="00690910"/>
    <w:rsid w:val="00693315"/>
    <w:rsid w:val="00697168"/>
    <w:rsid w:val="006A656D"/>
    <w:rsid w:val="006A6E5E"/>
    <w:rsid w:val="006B137D"/>
    <w:rsid w:val="006B1B94"/>
    <w:rsid w:val="006B2825"/>
    <w:rsid w:val="006B2990"/>
    <w:rsid w:val="006B32E5"/>
    <w:rsid w:val="006B36AB"/>
    <w:rsid w:val="006B4B0C"/>
    <w:rsid w:val="006B529C"/>
    <w:rsid w:val="006B5309"/>
    <w:rsid w:val="006B6503"/>
    <w:rsid w:val="006C16A9"/>
    <w:rsid w:val="006C1D79"/>
    <w:rsid w:val="006C2D4F"/>
    <w:rsid w:val="006C4A68"/>
    <w:rsid w:val="006C660C"/>
    <w:rsid w:val="006D1861"/>
    <w:rsid w:val="006D1AA2"/>
    <w:rsid w:val="006D2613"/>
    <w:rsid w:val="006D31CF"/>
    <w:rsid w:val="006D37BD"/>
    <w:rsid w:val="006D3A71"/>
    <w:rsid w:val="006D3D3E"/>
    <w:rsid w:val="006D6E20"/>
    <w:rsid w:val="006E2765"/>
    <w:rsid w:val="006E3CDA"/>
    <w:rsid w:val="006E6DB1"/>
    <w:rsid w:val="006E7F8D"/>
    <w:rsid w:val="006F0D23"/>
    <w:rsid w:val="006F2D69"/>
    <w:rsid w:val="006F3468"/>
    <w:rsid w:val="006F3D93"/>
    <w:rsid w:val="006F4AE1"/>
    <w:rsid w:val="006F74C8"/>
    <w:rsid w:val="00700B99"/>
    <w:rsid w:val="00703085"/>
    <w:rsid w:val="00703562"/>
    <w:rsid w:val="0070497A"/>
    <w:rsid w:val="007066D9"/>
    <w:rsid w:val="007069DC"/>
    <w:rsid w:val="007107D6"/>
    <w:rsid w:val="0071094D"/>
    <w:rsid w:val="00711408"/>
    <w:rsid w:val="007114FF"/>
    <w:rsid w:val="0071197E"/>
    <w:rsid w:val="007128D3"/>
    <w:rsid w:val="007130FA"/>
    <w:rsid w:val="007149E2"/>
    <w:rsid w:val="00714CEF"/>
    <w:rsid w:val="00717DAA"/>
    <w:rsid w:val="00721423"/>
    <w:rsid w:val="007248C0"/>
    <w:rsid w:val="00724BC7"/>
    <w:rsid w:val="00724FF3"/>
    <w:rsid w:val="00725C53"/>
    <w:rsid w:val="00725F02"/>
    <w:rsid w:val="0072611F"/>
    <w:rsid w:val="00726939"/>
    <w:rsid w:val="007273C2"/>
    <w:rsid w:val="00727497"/>
    <w:rsid w:val="00732068"/>
    <w:rsid w:val="007322E4"/>
    <w:rsid w:val="00732797"/>
    <w:rsid w:val="00732957"/>
    <w:rsid w:val="00732C6F"/>
    <w:rsid w:val="007331AB"/>
    <w:rsid w:val="00733670"/>
    <w:rsid w:val="00734D6C"/>
    <w:rsid w:val="00735FFB"/>
    <w:rsid w:val="007366C6"/>
    <w:rsid w:val="00737137"/>
    <w:rsid w:val="00737877"/>
    <w:rsid w:val="0074186D"/>
    <w:rsid w:val="0074354D"/>
    <w:rsid w:val="00744941"/>
    <w:rsid w:val="00744981"/>
    <w:rsid w:val="007458A0"/>
    <w:rsid w:val="007504EA"/>
    <w:rsid w:val="0075156A"/>
    <w:rsid w:val="0075258E"/>
    <w:rsid w:val="0075330D"/>
    <w:rsid w:val="007534DF"/>
    <w:rsid w:val="00757677"/>
    <w:rsid w:val="00757CB6"/>
    <w:rsid w:val="00757F98"/>
    <w:rsid w:val="00760DBA"/>
    <w:rsid w:val="00761856"/>
    <w:rsid w:val="007630BA"/>
    <w:rsid w:val="00764128"/>
    <w:rsid w:val="0076424F"/>
    <w:rsid w:val="007657C9"/>
    <w:rsid w:val="007662A5"/>
    <w:rsid w:val="00766C95"/>
    <w:rsid w:val="007670B0"/>
    <w:rsid w:val="007670B5"/>
    <w:rsid w:val="007677C6"/>
    <w:rsid w:val="0077041C"/>
    <w:rsid w:val="0077165A"/>
    <w:rsid w:val="00771E12"/>
    <w:rsid w:val="007736F8"/>
    <w:rsid w:val="0077551C"/>
    <w:rsid w:val="007804CE"/>
    <w:rsid w:val="00780B6D"/>
    <w:rsid w:val="00782AA4"/>
    <w:rsid w:val="00783386"/>
    <w:rsid w:val="00783712"/>
    <w:rsid w:val="007841A3"/>
    <w:rsid w:val="00784C63"/>
    <w:rsid w:val="00784E26"/>
    <w:rsid w:val="0078634C"/>
    <w:rsid w:val="007872E0"/>
    <w:rsid w:val="00787E30"/>
    <w:rsid w:val="0079028E"/>
    <w:rsid w:val="00790398"/>
    <w:rsid w:val="0079297A"/>
    <w:rsid w:val="00792BA6"/>
    <w:rsid w:val="00793D75"/>
    <w:rsid w:val="00795731"/>
    <w:rsid w:val="007957BD"/>
    <w:rsid w:val="00795CD1"/>
    <w:rsid w:val="007962F4"/>
    <w:rsid w:val="00797923"/>
    <w:rsid w:val="00797FEA"/>
    <w:rsid w:val="007A1190"/>
    <w:rsid w:val="007A1F86"/>
    <w:rsid w:val="007A32C9"/>
    <w:rsid w:val="007A42D4"/>
    <w:rsid w:val="007A459E"/>
    <w:rsid w:val="007A4955"/>
    <w:rsid w:val="007A51ED"/>
    <w:rsid w:val="007A5EB2"/>
    <w:rsid w:val="007A6A06"/>
    <w:rsid w:val="007A7EB5"/>
    <w:rsid w:val="007B016B"/>
    <w:rsid w:val="007B03AB"/>
    <w:rsid w:val="007B04BC"/>
    <w:rsid w:val="007B1C9D"/>
    <w:rsid w:val="007B2796"/>
    <w:rsid w:val="007B4E00"/>
    <w:rsid w:val="007B6619"/>
    <w:rsid w:val="007C322E"/>
    <w:rsid w:val="007C3B2A"/>
    <w:rsid w:val="007C42B7"/>
    <w:rsid w:val="007C4773"/>
    <w:rsid w:val="007C57FD"/>
    <w:rsid w:val="007C5B1E"/>
    <w:rsid w:val="007D1824"/>
    <w:rsid w:val="007D1E54"/>
    <w:rsid w:val="007D4237"/>
    <w:rsid w:val="007D4B50"/>
    <w:rsid w:val="007D632C"/>
    <w:rsid w:val="007D6CB7"/>
    <w:rsid w:val="007D7814"/>
    <w:rsid w:val="007E29EB"/>
    <w:rsid w:val="007E33D1"/>
    <w:rsid w:val="007E3B43"/>
    <w:rsid w:val="007E3D01"/>
    <w:rsid w:val="007E514E"/>
    <w:rsid w:val="007E5481"/>
    <w:rsid w:val="007E5603"/>
    <w:rsid w:val="007E595C"/>
    <w:rsid w:val="007E6497"/>
    <w:rsid w:val="007E68EB"/>
    <w:rsid w:val="007E707F"/>
    <w:rsid w:val="007F0E70"/>
    <w:rsid w:val="007F2164"/>
    <w:rsid w:val="007F3A58"/>
    <w:rsid w:val="007F41FC"/>
    <w:rsid w:val="007F52DA"/>
    <w:rsid w:val="007F5BE9"/>
    <w:rsid w:val="007F5D29"/>
    <w:rsid w:val="007F61D5"/>
    <w:rsid w:val="007F66D0"/>
    <w:rsid w:val="007F6B14"/>
    <w:rsid w:val="007F7D96"/>
    <w:rsid w:val="008014D7"/>
    <w:rsid w:val="008016C9"/>
    <w:rsid w:val="00802F42"/>
    <w:rsid w:val="00802F48"/>
    <w:rsid w:val="0080338A"/>
    <w:rsid w:val="008041AA"/>
    <w:rsid w:val="00804DF8"/>
    <w:rsid w:val="00805260"/>
    <w:rsid w:val="008066CA"/>
    <w:rsid w:val="00807E7A"/>
    <w:rsid w:val="00813F52"/>
    <w:rsid w:val="008140D1"/>
    <w:rsid w:val="0081498F"/>
    <w:rsid w:val="0081588F"/>
    <w:rsid w:val="00816B67"/>
    <w:rsid w:val="0081772B"/>
    <w:rsid w:val="008177C3"/>
    <w:rsid w:val="00820E79"/>
    <w:rsid w:val="008212BB"/>
    <w:rsid w:val="00821C82"/>
    <w:rsid w:val="00821D96"/>
    <w:rsid w:val="00822A70"/>
    <w:rsid w:val="0083160F"/>
    <w:rsid w:val="00831C88"/>
    <w:rsid w:val="00832A53"/>
    <w:rsid w:val="00833244"/>
    <w:rsid w:val="00833A15"/>
    <w:rsid w:val="00834217"/>
    <w:rsid w:val="00836E00"/>
    <w:rsid w:val="008377D6"/>
    <w:rsid w:val="00840E7D"/>
    <w:rsid w:val="0084163D"/>
    <w:rsid w:val="00844337"/>
    <w:rsid w:val="00845E29"/>
    <w:rsid w:val="0084770D"/>
    <w:rsid w:val="00850504"/>
    <w:rsid w:val="00850CD1"/>
    <w:rsid w:val="008537B4"/>
    <w:rsid w:val="00855C26"/>
    <w:rsid w:val="0085683D"/>
    <w:rsid w:val="008572AB"/>
    <w:rsid w:val="00857617"/>
    <w:rsid w:val="00857C41"/>
    <w:rsid w:val="0086065B"/>
    <w:rsid w:val="0086245D"/>
    <w:rsid w:val="0086253E"/>
    <w:rsid w:val="00862F3E"/>
    <w:rsid w:val="00863E52"/>
    <w:rsid w:val="0086401E"/>
    <w:rsid w:val="0086458B"/>
    <w:rsid w:val="008647AF"/>
    <w:rsid w:val="0086496B"/>
    <w:rsid w:val="00864F29"/>
    <w:rsid w:val="00865197"/>
    <w:rsid w:val="008652BF"/>
    <w:rsid w:val="00865E82"/>
    <w:rsid w:val="008660BE"/>
    <w:rsid w:val="00871E4D"/>
    <w:rsid w:val="008734BF"/>
    <w:rsid w:val="00873FF7"/>
    <w:rsid w:val="00874532"/>
    <w:rsid w:val="00874A96"/>
    <w:rsid w:val="008757D0"/>
    <w:rsid w:val="00875DAD"/>
    <w:rsid w:val="0087690D"/>
    <w:rsid w:val="00876B33"/>
    <w:rsid w:val="00876C07"/>
    <w:rsid w:val="0087767B"/>
    <w:rsid w:val="00877EBA"/>
    <w:rsid w:val="008804D0"/>
    <w:rsid w:val="008806F6"/>
    <w:rsid w:val="008818E3"/>
    <w:rsid w:val="008829FC"/>
    <w:rsid w:val="00882AA4"/>
    <w:rsid w:val="00882D39"/>
    <w:rsid w:val="00883694"/>
    <w:rsid w:val="00883F82"/>
    <w:rsid w:val="00885942"/>
    <w:rsid w:val="0089071A"/>
    <w:rsid w:val="00890DD8"/>
    <w:rsid w:val="00891854"/>
    <w:rsid w:val="00891C3C"/>
    <w:rsid w:val="00891DDB"/>
    <w:rsid w:val="00892F1F"/>
    <w:rsid w:val="008938F8"/>
    <w:rsid w:val="00893A73"/>
    <w:rsid w:val="00893E6D"/>
    <w:rsid w:val="00893E8F"/>
    <w:rsid w:val="008951C2"/>
    <w:rsid w:val="00895903"/>
    <w:rsid w:val="008970FD"/>
    <w:rsid w:val="0089717A"/>
    <w:rsid w:val="00897258"/>
    <w:rsid w:val="008974BC"/>
    <w:rsid w:val="008979E6"/>
    <w:rsid w:val="008A1F91"/>
    <w:rsid w:val="008A2A5C"/>
    <w:rsid w:val="008A3A38"/>
    <w:rsid w:val="008A435A"/>
    <w:rsid w:val="008A7B88"/>
    <w:rsid w:val="008B1930"/>
    <w:rsid w:val="008B1BD1"/>
    <w:rsid w:val="008B1CFC"/>
    <w:rsid w:val="008B21A4"/>
    <w:rsid w:val="008B284A"/>
    <w:rsid w:val="008B42CD"/>
    <w:rsid w:val="008B442E"/>
    <w:rsid w:val="008B458F"/>
    <w:rsid w:val="008B4593"/>
    <w:rsid w:val="008B4626"/>
    <w:rsid w:val="008B501E"/>
    <w:rsid w:val="008B5197"/>
    <w:rsid w:val="008B5F6D"/>
    <w:rsid w:val="008B734C"/>
    <w:rsid w:val="008B7C60"/>
    <w:rsid w:val="008C130E"/>
    <w:rsid w:val="008C1BB4"/>
    <w:rsid w:val="008C2C31"/>
    <w:rsid w:val="008C3338"/>
    <w:rsid w:val="008C4019"/>
    <w:rsid w:val="008C6818"/>
    <w:rsid w:val="008C78F8"/>
    <w:rsid w:val="008C7E53"/>
    <w:rsid w:val="008D1CAC"/>
    <w:rsid w:val="008D423E"/>
    <w:rsid w:val="008D443F"/>
    <w:rsid w:val="008D466B"/>
    <w:rsid w:val="008D5177"/>
    <w:rsid w:val="008D5637"/>
    <w:rsid w:val="008D6142"/>
    <w:rsid w:val="008D780F"/>
    <w:rsid w:val="008E1B4B"/>
    <w:rsid w:val="008E2D23"/>
    <w:rsid w:val="008E3D9C"/>
    <w:rsid w:val="008E435C"/>
    <w:rsid w:val="008E5D82"/>
    <w:rsid w:val="008E65EA"/>
    <w:rsid w:val="008E7D10"/>
    <w:rsid w:val="008F175E"/>
    <w:rsid w:val="008F1863"/>
    <w:rsid w:val="008F1CE7"/>
    <w:rsid w:val="008F28C9"/>
    <w:rsid w:val="008F40FE"/>
    <w:rsid w:val="008F4FC9"/>
    <w:rsid w:val="008F53DF"/>
    <w:rsid w:val="008F5624"/>
    <w:rsid w:val="008F56CF"/>
    <w:rsid w:val="008F6C26"/>
    <w:rsid w:val="008F6C73"/>
    <w:rsid w:val="008F72BA"/>
    <w:rsid w:val="00904FED"/>
    <w:rsid w:val="00905558"/>
    <w:rsid w:val="0090574E"/>
    <w:rsid w:val="00905D35"/>
    <w:rsid w:val="009062C4"/>
    <w:rsid w:val="0090631C"/>
    <w:rsid w:val="00906839"/>
    <w:rsid w:val="00911240"/>
    <w:rsid w:val="009138D1"/>
    <w:rsid w:val="009164E2"/>
    <w:rsid w:val="0092055D"/>
    <w:rsid w:val="00921FD3"/>
    <w:rsid w:val="00926DA9"/>
    <w:rsid w:val="009272EF"/>
    <w:rsid w:val="00927EC3"/>
    <w:rsid w:val="00930242"/>
    <w:rsid w:val="00930668"/>
    <w:rsid w:val="00931C7A"/>
    <w:rsid w:val="00932A13"/>
    <w:rsid w:val="009369EB"/>
    <w:rsid w:val="009373AF"/>
    <w:rsid w:val="009413C6"/>
    <w:rsid w:val="00941680"/>
    <w:rsid w:val="0094210F"/>
    <w:rsid w:val="009427AF"/>
    <w:rsid w:val="00942A00"/>
    <w:rsid w:val="0094421A"/>
    <w:rsid w:val="009442C2"/>
    <w:rsid w:val="009454DF"/>
    <w:rsid w:val="00950BE0"/>
    <w:rsid w:val="00951B2A"/>
    <w:rsid w:val="00952497"/>
    <w:rsid w:val="00952668"/>
    <w:rsid w:val="00952A16"/>
    <w:rsid w:val="0095339F"/>
    <w:rsid w:val="009539D0"/>
    <w:rsid w:val="009548AE"/>
    <w:rsid w:val="009550A4"/>
    <w:rsid w:val="00955C30"/>
    <w:rsid w:val="00956693"/>
    <w:rsid w:val="009568E9"/>
    <w:rsid w:val="00960413"/>
    <w:rsid w:val="00961784"/>
    <w:rsid w:val="00963ADB"/>
    <w:rsid w:val="00963EF9"/>
    <w:rsid w:val="009645AA"/>
    <w:rsid w:val="009658B1"/>
    <w:rsid w:val="00967279"/>
    <w:rsid w:val="00970349"/>
    <w:rsid w:val="00970730"/>
    <w:rsid w:val="00977042"/>
    <w:rsid w:val="0098026A"/>
    <w:rsid w:val="0098072F"/>
    <w:rsid w:val="00980F38"/>
    <w:rsid w:val="00981071"/>
    <w:rsid w:val="00981402"/>
    <w:rsid w:val="0098181C"/>
    <w:rsid w:val="009829E5"/>
    <w:rsid w:val="00982A39"/>
    <w:rsid w:val="0098395D"/>
    <w:rsid w:val="00984571"/>
    <w:rsid w:val="00984880"/>
    <w:rsid w:val="00985039"/>
    <w:rsid w:val="009853F2"/>
    <w:rsid w:val="00985464"/>
    <w:rsid w:val="0098576E"/>
    <w:rsid w:val="009871BB"/>
    <w:rsid w:val="009877B3"/>
    <w:rsid w:val="00990810"/>
    <w:rsid w:val="00991C23"/>
    <w:rsid w:val="00992581"/>
    <w:rsid w:val="00992DE4"/>
    <w:rsid w:val="009941DF"/>
    <w:rsid w:val="009942A6"/>
    <w:rsid w:val="0099530A"/>
    <w:rsid w:val="009A03D7"/>
    <w:rsid w:val="009A10AB"/>
    <w:rsid w:val="009A1C20"/>
    <w:rsid w:val="009A1FC6"/>
    <w:rsid w:val="009A247B"/>
    <w:rsid w:val="009A2CA2"/>
    <w:rsid w:val="009A5423"/>
    <w:rsid w:val="009A6E96"/>
    <w:rsid w:val="009B09B2"/>
    <w:rsid w:val="009B113E"/>
    <w:rsid w:val="009B1755"/>
    <w:rsid w:val="009B26F5"/>
    <w:rsid w:val="009B35DB"/>
    <w:rsid w:val="009C08D6"/>
    <w:rsid w:val="009C12E4"/>
    <w:rsid w:val="009C3460"/>
    <w:rsid w:val="009C3E5B"/>
    <w:rsid w:val="009C49B1"/>
    <w:rsid w:val="009C50F8"/>
    <w:rsid w:val="009C5118"/>
    <w:rsid w:val="009C53F7"/>
    <w:rsid w:val="009C6216"/>
    <w:rsid w:val="009D0C23"/>
    <w:rsid w:val="009D275E"/>
    <w:rsid w:val="009D47D7"/>
    <w:rsid w:val="009D72CE"/>
    <w:rsid w:val="009E078A"/>
    <w:rsid w:val="009E1228"/>
    <w:rsid w:val="009E3389"/>
    <w:rsid w:val="009E3A1D"/>
    <w:rsid w:val="009E602B"/>
    <w:rsid w:val="009E680E"/>
    <w:rsid w:val="009E682C"/>
    <w:rsid w:val="009F0897"/>
    <w:rsid w:val="009F46EF"/>
    <w:rsid w:val="009F6406"/>
    <w:rsid w:val="009F72CD"/>
    <w:rsid w:val="009F73A2"/>
    <w:rsid w:val="00A014F2"/>
    <w:rsid w:val="00A02502"/>
    <w:rsid w:val="00A03303"/>
    <w:rsid w:val="00A04609"/>
    <w:rsid w:val="00A056CD"/>
    <w:rsid w:val="00A05C99"/>
    <w:rsid w:val="00A062CC"/>
    <w:rsid w:val="00A077A4"/>
    <w:rsid w:val="00A10460"/>
    <w:rsid w:val="00A10D3B"/>
    <w:rsid w:val="00A1110B"/>
    <w:rsid w:val="00A15875"/>
    <w:rsid w:val="00A16349"/>
    <w:rsid w:val="00A16BDC"/>
    <w:rsid w:val="00A17C22"/>
    <w:rsid w:val="00A20A78"/>
    <w:rsid w:val="00A2111C"/>
    <w:rsid w:val="00A216E9"/>
    <w:rsid w:val="00A22D04"/>
    <w:rsid w:val="00A23CE1"/>
    <w:rsid w:val="00A23CEC"/>
    <w:rsid w:val="00A23F3F"/>
    <w:rsid w:val="00A255E9"/>
    <w:rsid w:val="00A2644C"/>
    <w:rsid w:val="00A27276"/>
    <w:rsid w:val="00A27CAE"/>
    <w:rsid w:val="00A309F3"/>
    <w:rsid w:val="00A328AC"/>
    <w:rsid w:val="00A3318A"/>
    <w:rsid w:val="00A33FC3"/>
    <w:rsid w:val="00A35A98"/>
    <w:rsid w:val="00A35AF6"/>
    <w:rsid w:val="00A35D07"/>
    <w:rsid w:val="00A36A1B"/>
    <w:rsid w:val="00A37E4D"/>
    <w:rsid w:val="00A4198B"/>
    <w:rsid w:val="00A42915"/>
    <w:rsid w:val="00A42F65"/>
    <w:rsid w:val="00A502AA"/>
    <w:rsid w:val="00A5075D"/>
    <w:rsid w:val="00A51CA9"/>
    <w:rsid w:val="00A51CD7"/>
    <w:rsid w:val="00A53416"/>
    <w:rsid w:val="00A53EFE"/>
    <w:rsid w:val="00A55721"/>
    <w:rsid w:val="00A5580B"/>
    <w:rsid w:val="00A56962"/>
    <w:rsid w:val="00A57E5D"/>
    <w:rsid w:val="00A622C4"/>
    <w:rsid w:val="00A63933"/>
    <w:rsid w:val="00A63F7A"/>
    <w:rsid w:val="00A67688"/>
    <w:rsid w:val="00A6771D"/>
    <w:rsid w:val="00A705ED"/>
    <w:rsid w:val="00A7092B"/>
    <w:rsid w:val="00A73E97"/>
    <w:rsid w:val="00A76E36"/>
    <w:rsid w:val="00A8345F"/>
    <w:rsid w:val="00A84309"/>
    <w:rsid w:val="00A850D8"/>
    <w:rsid w:val="00A85400"/>
    <w:rsid w:val="00A858B8"/>
    <w:rsid w:val="00A85E10"/>
    <w:rsid w:val="00A863FA"/>
    <w:rsid w:val="00A8647A"/>
    <w:rsid w:val="00A864AA"/>
    <w:rsid w:val="00A86D41"/>
    <w:rsid w:val="00A874C2"/>
    <w:rsid w:val="00A900A5"/>
    <w:rsid w:val="00A9066E"/>
    <w:rsid w:val="00A90FB0"/>
    <w:rsid w:val="00A90FC6"/>
    <w:rsid w:val="00A94AFD"/>
    <w:rsid w:val="00A95A0E"/>
    <w:rsid w:val="00A95BD3"/>
    <w:rsid w:val="00A97955"/>
    <w:rsid w:val="00AA192B"/>
    <w:rsid w:val="00AA28B8"/>
    <w:rsid w:val="00AA2C41"/>
    <w:rsid w:val="00AA2ED4"/>
    <w:rsid w:val="00AA3575"/>
    <w:rsid w:val="00AA3A3D"/>
    <w:rsid w:val="00AA45D2"/>
    <w:rsid w:val="00AA756F"/>
    <w:rsid w:val="00AB08F6"/>
    <w:rsid w:val="00AB0C7B"/>
    <w:rsid w:val="00AB1052"/>
    <w:rsid w:val="00AB138D"/>
    <w:rsid w:val="00AB2ADC"/>
    <w:rsid w:val="00AB4637"/>
    <w:rsid w:val="00AB4706"/>
    <w:rsid w:val="00AB4810"/>
    <w:rsid w:val="00AB62F7"/>
    <w:rsid w:val="00AB64DE"/>
    <w:rsid w:val="00AB6F0D"/>
    <w:rsid w:val="00AC03A2"/>
    <w:rsid w:val="00AC06EB"/>
    <w:rsid w:val="00AC1DA7"/>
    <w:rsid w:val="00AC3A21"/>
    <w:rsid w:val="00AC3F58"/>
    <w:rsid w:val="00AC44D5"/>
    <w:rsid w:val="00AC4AEE"/>
    <w:rsid w:val="00AC4DB8"/>
    <w:rsid w:val="00AC4F31"/>
    <w:rsid w:val="00AD2272"/>
    <w:rsid w:val="00AD2C71"/>
    <w:rsid w:val="00AD4802"/>
    <w:rsid w:val="00AD6BFD"/>
    <w:rsid w:val="00AE0566"/>
    <w:rsid w:val="00AE0B40"/>
    <w:rsid w:val="00AE1641"/>
    <w:rsid w:val="00AE1F88"/>
    <w:rsid w:val="00AE282E"/>
    <w:rsid w:val="00AE28C6"/>
    <w:rsid w:val="00AE4967"/>
    <w:rsid w:val="00AE6157"/>
    <w:rsid w:val="00AE7E68"/>
    <w:rsid w:val="00AF041D"/>
    <w:rsid w:val="00AF1289"/>
    <w:rsid w:val="00AF29C1"/>
    <w:rsid w:val="00AF2E69"/>
    <w:rsid w:val="00AF368B"/>
    <w:rsid w:val="00AF4778"/>
    <w:rsid w:val="00AF63D6"/>
    <w:rsid w:val="00AF6765"/>
    <w:rsid w:val="00AF6A66"/>
    <w:rsid w:val="00AF7C31"/>
    <w:rsid w:val="00B01852"/>
    <w:rsid w:val="00B045E4"/>
    <w:rsid w:val="00B04883"/>
    <w:rsid w:val="00B051AD"/>
    <w:rsid w:val="00B05250"/>
    <w:rsid w:val="00B065FE"/>
    <w:rsid w:val="00B10F18"/>
    <w:rsid w:val="00B111AE"/>
    <w:rsid w:val="00B125BF"/>
    <w:rsid w:val="00B12A59"/>
    <w:rsid w:val="00B13BB9"/>
    <w:rsid w:val="00B13C4C"/>
    <w:rsid w:val="00B14880"/>
    <w:rsid w:val="00B158E2"/>
    <w:rsid w:val="00B15FDF"/>
    <w:rsid w:val="00B16620"/>
    <w:rsid w:val="00B1696F"/>
    <w:rsid w:val="00B16A49"/>
    <w:rsid w:val="00B20565"/>
    <w:rsid w:val="00B22E7F"/>
    <w:rsid w:val="00B23E73"/>
    <w:rsid w:val="00B240D1"/>
    <w:rsid w:val="00B247E1"/>
    <w:rsid w:val="00B25506"/>
    <w:rsid w:val="00B2566D"/>
    <w:rsid w:val="00B257AE"/>
    <w:rsid w:val="00B26829"/>
    <w:rsid w:val="00B26CDB"/>
    <w:rsid w:val="00B27328"/>
    <w:rsid w:val="00B27920"/>
    <w:rsid w:val="00B32FBF"/>
    <w:rsid w:val="00B33F3A"/>
    <w:rsid w:val="00B3474A"/>
    <w:rsid w:val="00B35A79"/>
    <w:rsid w:val="00B36A59"/>
    <w:rsid w:val="00B37906"/>
    <w:rsid w:val="00B413A6"/>
    <w:rsid w:val="00B4140A"/>
    <w:rsid w:val="00B43236"/>
    <w:rsid w:val="00B44A23"/>
    <w:rsid w:val="00B46173"/>
    <w:rsid w:val="00B461FD"/>
    <w:rsid w:val="00B4660E"/>
    <w:rsid w:val="00B46922"/>
    <w:rsid w:val="00B46D48"/>
    <w:rsid w:val="00B47032"/>
    <w:rsid w:val="00B5019D"/>
    <w:rsid w:val="00B5350E"/>
    <w:rsid w:val="00B54517"/>
    <w:rsid w:val="00B5484A"/>
    <w:rsid w:val="00B54D59"/>
    <w:rsid w:val="00B55294"/>
    <w:rsid w:val="00B55B9F"/>
    <w:rsid w:val="00B57AF0"/>
    <w:rsid w:val="00B6032A"/>
    <w:rsid w:val="00B60489"/>
    <w:rsid w:val="00B63179"/>
    <w:rsid w:val="00B64A91"/>
    <w:rsid w:val="00B658F3"/>
    <w:rsid w:val="00B65B21"/>
    <w:rsid w:val="00B70E3D"/>
    <w:rsid w:val="00B71F2D"/>
    <w:rsid w:val="00B73B1F"/>
    <w:rsid w:val="00B758AA"/>
    <w:rsid w:val="00B77506"/>
    <w:rsid w:val="00B77630"/>
    <w:rsid w:val="00B77D8D"/>
    <w:rsid w:val="00B806F0"/>
    <w:rsid w:val="00B80E08"/>
    <w:rsid w:val="00B82DFC"/>
    <w:rsid w:val="00B857CE"/>
    <w:rsid w:val="00B858A1"/>
    <w:rsid w:val="00B86C42"/>
    <w:rsid w:val="00B90210"/>
    <w:rsid w:val="00B910E3"/>
    <w:rsid w:val="00B92AED"/>
    <w:rsid w:val="00B92C5F"/>
    <w:rsid w:val="00B94956"/>
    <w:rsid w:val="00B94CDF"/>
    <w:rsid w:val="00B960FA"/>
    <w:rsid w:val="00B97BC5"/>
    <w:rsid w:val="00B97BCD"/>
    <w:rsid w:val="00BA1D6F"/>
    <w:rsid w:val="00BA24E7"/>
    <w:rsid w:val="00BA78FB"/>
    <w:rsid w:val="00BA7902"/>
    <w:rsid w:val="00BB0984"/>
    <w:rsid w:val="00BB259F"/>
    <w:rsid w:val="00BB27FF"/>
    <w:rsid w:val="00BB4671"/>
    <w:rsid w:val="00BB6B81"/>
    <w:rsid w:val="00BB7EF1"/>
    <w:rsid w:val="00BC0435"/>
    <w:rsid w:val="00BC096F"/>
    <w:rsid w:val="00BC0C52"/>
    <w:rsid w:val="00BC19EA"/>
    <w:rsid w:val="00BC1A59"/>
    <w:rsid w:val="00BC37FF"/>
    <w:rsid w:val="00BC6293"/>
    <w:rsid w:val="00BC67FF"/>
    <w:rsid w:val="00BC70AD"/>
    <w:rsid w:val="00BD10E9"/>
    <w:rsid w:val="00BD2311"/>
    <w:rsid w:val="00BD29B9"/>
    <w:rsid w:val="00BD3378"/>
    <w:rsid w:val="00BD50EF"/>
    <w:rsid w:val="00BD5577"/>
    <w:rsid w:val="00BE218B"/>
    <w:rsid w:val="00BE4364"/>
    <w:rsid w:val="00BE47CE"/>
    <w:rsid w:val="00BE5847"/>
    <w:rsid w:val="00BE5A0A"/>
    <w:rsid w:val="00BE5FE3"/>
    <w:rsid w:val="00BE60B9"/>
    <w:rsid w:val="00BE6950"/>
    <w:rsid w:val="00BE7201"/>
    <w:rsid w:val="00BE7AFA"/>
    <w:rsid w:val="00BF018D"/>
    <w:rsid w:val="00BF3113"/>
    <w:rsid w:val="00BF440B"/>
    <w:rsid w:val="00BF51BA"/>
    <w:rsid w:val="00BF567A"/>
    <w:rsid w:val="00BF6E58"/>
    <w:rsid w:val="00BF70BE"/>
    <w:rsid w:val="00C00B0B"/>
    <w:rsid w:val="00C012AE"/>
    <w:rsid w:val="00C038CA"/>
    <w:rsid w:val="00C04671"/>
    <w:rsid w:val="00C04C11"/>
    <w:rsid w:val="00C06445"/>
    <w:rsid w:val="00C07631"/>
    <w:rsid w:val="00C11F9D"/>
    <w:rsid w:val="00C12253"/>
    <w:rsid w:val="00C1372A"/>
    <w:rsid w:val="00C13B93"/>
    <w:rsid w:val="00C14FC7"/>
    <w:rsid w:val="00C16BF7"/>
    <w:rsid w:val="00C1797F"/>
    <w:rsid w:val="00C20DDC"/>
    <w:rsid w:val="00C22A12"/>
    <w:rsid w:val="00C23094"/>
    <w:rsid w:val="00C23EA1"/>
    <w:rsid w:val="00C24609"/>
    <w:rsid w:val="00C24A2B"/>
    <w:rsid w:val="00C25AE0"/>
    <w:rsid w:val="00C25F36"/>
    <w:rsid w:val="00C277BB"/>
    <w:rsid w:val="00C27926"/>
    <w:rsid w:val="00C27ABE"/>
    <w:rsid w:val="00C32165"/>
    <w:rsid w:val="00C332D8"/>
    <w:rsid w:val="00C33C10"/>
    <w:rsid w:val="00C3501F"/>
    <w:rsid w:val="00C354A1"/>
    <w:rsid w:val="00C35FCA"/>
    <w:rsid w:val="00C36841"/>
    <w:rsid w:val="00C42295"/>
    <w:rsid w:val="00C4271C"/>
    <w:rsid w:val="00C43BC9"/>
    <w:rsid w:val="00C441EF"/>
    <w:rsid w:val="00C45410"/>
    <w:rsid w:val="00C4542B"/>
    <w:rsid w:val="00C45A46"/>
    <w:rsid w:val="00C45B27"/>
    <w:rsid w:val="00C45D2D"/>
    <w:rsid w:val="00C45D91"/>
    <w:rsid w:val="00C50F40"/>
    <w:rsid w:val="00C516CD"/>
    <w:rsid w:val="00C52C64"/>
    <w:rsid w:val="00C53C66"/>
    <w:rsid w:val="00C54167"/>
    <w:rsid w:val="00C54866"/>
    <w:rsid w:val="00C54B7E"/>
    <w:rsid w:val="00C5508D"/>
    <w:rsid w:val="00C5529D"/>
    <w:rsid w:val="00C56A6F"/>
    <w:rsid w:val="00C62479"/>
    <w:rsid w:val="00C63F97"/>
    <w:rsid w:val="00C64311"/>
    <w:rsid w:val="00C643DE"/>
    <w:rsid w:val="00C64673"/>
    <w:rsid w:val="00C647CC"/>
    <w:rsid w:val="00C64CE6"/>
    <w:rsid w:val="00C66682"/>
    <w:rsid w:val="00C669FD"/>
    <w:rsid w:val="00C72422"/>
    <w:rsid w:val="00C72706"/>
    <w:rsid w:val="00C733D0"/>
    <w:rsid w:val="00C739FC"/>
    <w:rsid w:val="00C75A25"/>
    <w:rsid w:val="00C80C9B"/>
    <w:rsid w:val="00C812A3"/>
    <w:rsid w:val="00C824EA"/>
    <w:rsid w:val="00C84A27"/>
    <w:rsid w:val="00C86A7D"/>
    <w:rsid w:val="00C9141B"/>
    <w:rsid w:val="00C91739"/>
    <w:rsid w:val="00C91ACB"/>
    <w:rsid w:val="00C92E2D"/>
    <w:rsid w:val="00C93268"/>
    <w:rsid w:val="00C93BB1"/>
    <w:rsid w:val="00C93FC2"/>
    <w:rsid w:val="00C94569"/>
    <w:rsid w:val="00C94DBB"/>
    <w:rsid w:val="00C9524A"/>
    <w:rsid w:val="00C96140"/>
    <w:rsid w:val="00CA0609"/>
    <w:rsid w:val="00CA0F7A"/>
    <w:rsid w:val="00CA2953"/>
    <w:rsid w:val="00CA2A1C"/>
    <w:rsid w:val="00CA2A47"/>
    <w:rsid w:val="00CA4534"/>
    <w:rsid w:val="00CA5DB0"/>
    <w:rsid w:val="00CA5E8D"/>
    <w:rsid w:val="00CA64BE"/>
    <w:rsid w:val="00CA6644"/>
    <w:rsid w:val="00CA6801"/>
    <w:rsid w:val="00CA7BA1"/>
    <w:rsid w:val="00CB056E"/>
    <w:rsid w:val="00CB19EF"/>
    <w:rsid w:val="00CB1EFD"/>
    <w:rsid w:val="00CB200B"/>
    <w:rsid w:val="00CB2082"/>
    <w:rsid w:val="00CB2D5F"/>
    <w:rsid w:val="00CB3E47"/>
    <w:rsid w:val="00CB40AB"/>
    <w:rsid w:val="00CB4C1C"/>
    <w:rsid w:val="00CB50DA"/>
    <w:rsid w:val="00CB51A1"/>
    <w:rsid w:val="00CB5AC3"/>
    <w:rsid w:val="00CB5DDE"/>
    <w:rsid w:val="00CB5FE0"/>
    <w:rsid w:val="00CB64EB"/>
    <w:rsid w:val="00CB7552"/>
    <w:rsid w:val="00CB7589"/>
    <w:rsid w:val="00CC1533"/>
    <w:rsid w:val="00CC3F59"/>
    <w:rsid w:val="00CC61BC"/>
    <w:rsid w:val="00CC79A4"/>
    <w:rsid w:val="00CC7D9D"/>
    <w:rsid w:val="00CD254F"/>
    <w:rsid w:val="00CD3567"/>
    <w:rsid w:val="00CD62B7"/>
    <w:rsid w:val="00CD6D45"/>
    <w:rsid w:val="00CD7C2B"/>
    <w:rsid w:val="00CD7C3B"/>
    <w:rsid w:val="00CE03BC"/>
    <w:rsid w:val="00CE0838"/>
    <w:rsid w:val="00CE1386"/>
    <w:rsid w:val="00CE3514"/>
    <w:rsid w:val="00CE4181"/>
    <w:rsid w:val="00CE56A4"/>
    <w:rsid w:val="00CE6487"/>
    <w:rsid w:val="00CE6B84"/>
    <w:rsid w:val="00CF187D"/>
    <w:rsid w:val="00CF1B86"/>
    <w:rsid w:val="00CF25BA"/>
    <w:rsid w:val="00CF3238"/>
    <w:rsid w:val="00CF4E59"/>
    <w:rsid w:val="00CF4F35"/>
    <w:rsid w:val="00CF6930"/>
    <w:rsid w:val="00CF6BB4"/>
    <w:rsid w:val="00CF7070"/>
    <w:rsid w:val="00D007FB"/>
    <w:rsid w:val="00D00FA9"/>
    <w:rsid w:val="00D014FC"/>
    <w:rsid w:val="00D03543"/>
    <w:rsid w:val="00D036BA"/>
    <w:rsid w:val="00D046BB"/>
    <w:rsid w:val="00D05519"/>
    <w:rsid w:val="00D05F2C"/>
    <w:rsid w:val="00D06741"/>
    <w:rsid w:val="00D06968"/>
    <w:rsid w:val="00D06F88"/>
    <w:rsid w:val="00D1137A"/>
    <w:rsid w:val="00D1160E"/>
    <w:rsid w:val="00D135D1"/>
    <w:rsid w:val="00D14814"/>
    <w:rsid w:val="00D16660"/>
    <w:rsid w:val="00D17E50"/>
    <w:rsid w:val="00D20649"/>
    <w:rsid w:val="00D21055"/>
    <w:rsid w:val="00D228A7"/>
    <w:rsid w:val="00D24221"/>
    <w:rsid w:val="00D24327"/>
    <w:rsid w:val="00D25C76"/>
    <w:rsid w:val="00D26CDC"/>
    <w:rsid w:val="00D27066"/>
    <w:rsid w:val="00D3135C"/>
    <w:rsid w:val="00D3138C"/>
    <w:rsid w:val="00D31BC2"/>
    <w:rsid w:val="00D3211D"/>
    <w:rsid w:val="00D33C2C"/>
    <w:rsid w:val="00D34071"/>
    <w:rsid w:val="00D34A2C"/>
    <w:rsid w:val="00D360EF"/>
    <w:rsid w:val="00D36B58"/>
    <w:rsid w:val="00D36C70"/>
    <w:rsid w:val="00D3708F"/>
    <w:rsid w:val="00D3711E"/>
    <w:rsid w:val="00D37E88"/>
    <w:rsid w:val="00D430E6"/>
    <w:rsid w:val="00D44644"/>
    <w:rsid w:val="00D44A24"/>
    <w:rsid w:val="00D44F86"/>
    <w:rsid w:val="00D51494"/>
    <w:rsid w:val="00D51594"/>
    <w:rsid w:val="00D51B33"/>
    <w:rsid w:val="00D51D82"/>
    <w:rsid w:val="00D5205F"/>
    <w:rsid w:val="00D53646"/>
    <w:rsid w:val="00D5449B"/>
    <w:rsid w:val="00D54883"/>
    <w:rsid w:val="00D61052"/>
    <w:rsid w:val="00D6180B"/>
    <w:rsid w:val="00D62502"/>
    <w:rsid w:val="00D62DD7"/>
    <w:rsid w:val="00D6449B"/>
    <w:rsid w:val="00D64667"/>
    <w:rsid w:val="00D646B1"/>
    <w:rsid w:val="00D6653F"/>
    <w:rsid w:val="00D66975"/>
    <w:rsid w:val="00D67D6A"/>
    <w:rsid w:val="00D70216"/>
    <w:rsid w:val="00D710AC"/>
    <w:rsid w:val="00D7156F"/>
    <w:rsid w:val="00D71EBE"/>
    <w:rsid w:val="00D73A1A"/>
    <w:rsid w:val="00D73A4A"/>
    <w:rsid w:val="00D7518F"/>
    <w:rsid w:val="00D77DEB"/>
    <w:rsid w:val="00D80C5C"/>
    <w:rsid w:val="00D81EAA"/>
    <w:rsid w:val="00D82A7E"/>
    <w:rsid w:val="00D836D7"/>
    <w:rsid w:val="00D83728"/>
    <w:rsid w:val="00D849D0"/>
    <w:rsid w:val="00D865EE"/>
    <w:rsid w:val="00D86E82"/>
    <w:rsid w:val="00D872A6"/>
    <w:rsid w:val="00D87760"/>
    <w:rsid w:val="00D87DF0"/>
    <w:rsid w:val="00D91998"/>
    <w:rsid w:val="00D962B6"/>
    <w:rsid w:val="00D96411"/>
    <w:rsid w:val="00D97F16"/>
    <w:rsid w:val="00DA028A"/>
    <w:rsid w:val="00DA1036"/>
    <w:rsid w:val="00DA27C9"/>
    <w:rsid w:val="00DA547C"/>
    <w:rsid w:val="00DA592D"/>
    <w:rsid w:val="00DA5B99"/>
    <w:rsid w:val="00DA5E09"/>
    <w:rsid w:val="00DA654F"/>
    <w:rsid w:val="00DA673F"/>
    <w:rsid w:val="00DA7B42"/>
    <w:rsid w:val="00DB2237"/>
    <w:rsid w:val="00DB3BD1"/>
    <w:rsid w:val="00DB43DC"/>
    <w:rsid w:val="00DB44E9"/>
    <w:rsid w:val="00DB4DA6"/>
    <w:rsid w:val="00DB5C39"/>
    <w:rsid w:val="00DB746E"/>
    <w:rsid w:val="00DC0451"/>
    <w:rsid w:val="00DC0E90"/>
    <w:rsid w:val="00DC14CA"/>
    <w:rsid w:val="00DC2B7B"/>
    <w:rsid w:val="00DC343E"/>
    <w:rsid w:val="00DC413A"/>
    <w:rsid w:val="00DC4D42"/>
    <w:rsid w:val="00DC5B7D"/>
    <w:rsid w:val="00DC72C9"/>
    <w:rsid w:val="00DD3A6D"/>
    <w:rsid w:val="00DE010A"/>
    <w:rsid w:val="00DE0892"/>
    <w:rsid w:val="00DE0DF6"/>
    <w:rsid w:val="00DE2D19"/>
    <w:rsid w:val="00DE3466"/>
    <w:rsid w:val="00DE517A"/>
    <w:rsid w:val="00DE6157"/>
    <w:rsid w:val="00DF1B17"/>
    <w:rsid w:val="00DF5F99"/>
    <w:rsid w:val="00E00188"/>
    <w:rsid w:val="00E003CC"/>
    <w:rsid w:val="00E0051D"/>
    <w:rsid w:val="00E009F4"/>
    <w:rsid w:val="00E011FE"/>
    <w:rsid w:val="00E01ACB"/>
    <w:rsid w:val="00E02971"/>
    <w:rsid w:val="00E02F7A"/>
    <w:rsid w:val="00E0396F"/>
    <w:rsid w:val="00E0665C"/>
    <w:rsid w:val="00E0750C"/>
    <w:rsid w:val="00E078FB"/>
    <w:rsid w:val="00E07D6B"/>
    <w:rsid w:val="00E101AA"/>
    <w:rsid w:val="00E110C1"/>
    <w:rsid w:val="00E14FCE"/>
    <w:rsid w:val="00E15113"/>
    <w:rsid w:val="00E158DE"/>
    <w:rsid w:val="00E1748D"/>
    <w:rsid w:val="00E200F7"/>
    <w:rsid w:val="00E21731"/>
    <w:rsid w:val="00E21E1C"/>
    <w:rsid w:val="00E236CE"/>
    <w:rsid w:val="00E246EA"/>
    <w:rsid w:val="00E24B08"/>
    <w:rsid w:val="00E25BE6"/>
    <w:rsid w:val="00E26073"/>
    <w:rsid w:val="00E2641A"/>
    <w:rsid w:val="00E265BC"/>
    <w:rsid w:val="00E26E26"/>
    <w:rsid w:val="00E30CB9"/>
    <w:rsid w:val="00E3111D"/>
    <w:rsid w:val="00E31290"/>
    <w:rsid w:val="00E312B2"/>
    <w:rsid w:val="00E31634"/>
    <w:rsid w:val="00E3171B"/>
    <w:rsid w:val="00E31A3C"/>
    <w:rsid w:val="00E32E06"/>
    <w:rsid w:val="00E32E69"/>
    <w:rsid w:val="00E33693"/>
    <w:rsid w:val="00E3541D"/>
    <w:rsid w:val="00E3572F"/>
    <w:rsid w:val="00E361E2"/>
    <w:rsid w:val="00E414EE"/>
    <w:rsid w:val="00E42187"/>
    <w:rsid w:val="00E4241F"/>
    <w:rsid w:val="00E43F3F"/>
    <w:rsid w:val="00E46180"/>
    <w:rsid w:val="00E464B2"/>
    <w:rsid w:val="00E472A4"/>
    <w:rsid w:val="00E4742E"/>
    <w:rsid w:val="00E47587"/>
    <w:rsid w:val="00E50AB5"/>
    <w:rsid w:val="00E51997"/>
    <w:rsid w:val="00E528D0"/>
    <w:rsid w:val="00E5451E"/>
    <w:rsid w:val="00E56083"/>
    <w:rsid w:val="00E600BF"/>
    <w:rsid w:val="00E61584"/>
    <w:rsid w:val="00E62E43"/>
    <w:rsid w:val="00E63B72"/>
    <w:rsid w:val="00E6553D"/>
    <w:rsid w:val="00E704D2"/>
    <w:rsid w:val="00E720F9"/>
    <w:rsid w:val="00E72686"/>
    <w:rsid w:val="00E730D0"/>
    <w:rsid w:val="00E73178"/>
    <w:rsid w:val="00E73A10"/>
    <w:rsid w:val="00E7527F"/>
    <w:rsid w:val="00E7547F"/>
    <w:rsid w:val="00E754B2"/>
    <w:rsid w:val="00E75A07"/>
    <w:rsid w:val="00E75FED"/>
    <w:rsid w:val="00E76D03"/>
    <w:rsid w:val="00E804E7"/>
    <w:rsid w:val="00E8078F"/>
    <w:rsid w:val="00E83FF3"/>
    <w:rsid w:val="00E86BC1"/>
    <w:rsid w:val="00E87AF3"/>
    <w:rsid w:val="00E87DA2"/>
    <w:rsid w:val="00E90A50"/>
    <w:rsid w:val="00E9188B"/>
    <w:rsid w:val="00E91AF4"/>
    <w:rsid w:val="00E939F8"/>
    <w:rsid w:val="00E9411E"/>
    <w:rsid w:val="00E941D4"/>
    <w:rsid w:val="00E94544"/>
    <w:rsid w:val="00E947FA"/>
    <w:rsid w:val="00E9518D"/>
    <w:rsid w:val="00EA0B4B"/>
    <w:rsid w:val="00EA17A1"/>
    <w:rsid w:val="00EA2219"/>
    <w:rsid w:val="00EA2376"/>
    <w:rsid w:val="00EA2F0C"/>
    <w:rsid w:val="00EA38B5"/>
    <w:rsid w:val="00EA3B3B"/>
    <w:rsid w:val="00EA51F8"/>
    <w:rsid w:val="00EA5E09"/>
    <w:rsid w:val="00EA6561"/>
    <w:rsid w:val="00EA6885"/>
    <w:rsid w:val="00EA79CC"/>
    <w:rsid w:val="00EA7ABE"/>
    <w:rsid w:val="00EA7F20"/>
    <w:rsid w:val="00EB2CC5"/>
    <w:rsid w:val="00EB3C80"/>
    <w:rsid w:val="00EB3E87"/>
    <w:rsid w:val="00EB55CF"/>
    <w:rsid w:val="00EB7EFB"/>
    <w:rsid w:val="00EC0BA6"/>
    <w:rsid w:val="00EC0C59"/>
    <w:rsid w:val="00EC1C30"/>
    <w:rsid w:val="00EC23D2"/>
    <w:rsid w:val="00EC2F83"/>
    <w:rsid w:val="00EC456C"/>
    <w:rsid w:val="00EC6474"/>
    <w:rsid w:val="00EC6A6C"/>
    <w:rsid w:val="00EC6D24"/>
    <w:rsid w:val="00EC769B"/>
    <w:rsid w:val="00ED06A3"/>
    <w:rsid w:val="00ED2E98"/>
    <w:rsid w:val="00ED5AA8"/>
    <w:rsid w:val="00ED637A"/>
    <w:rsid w:val="00ED694F"/>
    <w:rsid w:val="00EE0247"/>
    <w:rsid w:val="00EE063E"/>
    <w:rsid w:val="00EE3DB2"/>
    <w:rsid w:val="00EE43DE"/>
    <w:rsid w:val="00EE51C8"/>
    <w:rsid w:val="00EE67CE"/>
    <w:rsid w:val="00EE68D2"/>
    <w:rsid w:val="00EE742B"/>
    <w:rsid w:val="00EE7749"/>
    <w:rsid w:val="00EF058C"/>
    <w:rsid w:val="00EF1353"/>
    <w:rsid w:val="00EF179D"/>
    <w:rsid w:val="00EF20A1"/>
    <w:rsid w:val="00EF448F"/>
    <w:rsid w:val="00EF4DBA"/>
    <w:rsid w:val="00EF50DE"/>
    <w:rsid w:val="00EF6539"/>
    <w:rsid w:val="00EF6582"/>
    <w:rsid w:val="00EF6E6D"/>
    <w:rsid w:val="00EF7E77"/>
    <w:rsid w:val="00F00300"/>
    <w:rsid w:val="00F03AA6"/>
    <w:rsid w:val="00F042C9"/>
    <w:rsid w:val="00F0469E"/>
    <w:rsid w:val="00F046E8"/>
    <w:rsid w:val="00F05852"/>
    <w:rsid w:val="00F05B43"/>
    <w:rsid w:val="00F0726F"/>
    <w:rsid w:val="00F07377"/>
    <w:rsid w:val="00F07687"/>
    <w:rsid w:val="00F10676"/>
    <w:rsid w:val="00F11233"/>
    <w:rsid w:val="00F117DC"/>
    <w:rsid w:val="00F11A0F"/>
    <w:rsid w:val="00F12EA2"/>
    <w:rsid w:val="00F1326D"/>
    <w:rsid w:val="00F14006"/>
    <w:rsid w:val="00F153C1"/>
    <w:rsid w:val="00F162F9"/>
    <w:rsid w:val="00F20917"/>
    <w:rsid w:val="00F2102F"/>
    <w:rsid w:val="00F2139F"/>
    <w:rsid w:val="00F2205E"/>
    <w:rsid w:val="00F231D2"/>
    <w:rsid w:val="00F232CD"/>
    <w:rsid w:val="00F23D2E"/>
    <w:rsid w:val="00F24562"/>
    <w:rsid w:val="00F247F6"/>
    <w:rsid w:val="00F2605A"/>
    <w:rsid w:val="00F270A6"/>
    <w:rsid w:val="00F27605"/>
    <w:rsid w:val="00F27AD9"/>
    <w:rsid w:val="00F27D6B"/>
    <w:rsid w:val="00F30922"/>
    <w:rsid w:val="00F30AB0"/>
    <w:rsid w:val="00F310AF"/>
    <w:rsid w:val="00F3163E"/>
    <w:rsid w:val="00F31BF0"/>
    <w:rsid w:val="00F31CE2"/>
    <w:rsid w:val="00F321EF"/>
    <w:rsid w:val="00F32718"/>
    <w:rsid w:val="00F330DD"/>
    <w:rsid w:val="00F3324E"/>
    <w:rsid w:val="00F33C41"/>
    <w:rsid w:val="00F34002"/>
    <w:rsid w:val="00F34090"/>
    <w:rsid w:val="00F35087"/>
    <w:rsid w:val="00F35428"/>
    <w:rsid w:val="00F369B6"/>
    <w:rsid w:val="00F376A9"/>
    <w:rsid w:val="00F40988"/>
    <w:rsid w:val="00F4174A"/>
    <w:rsid w:val="00F42099"/>
    <w:rsid w:val="00F42D37"/>
    <w:rsid w:val="00F43FAB"/>
    <w:rsid w:val="00F449B3"/>
    <w:rsid w:val="00F46980"/>
    <w:rsid w:val="00F47B07"/>
    <w:rsid w:val="00F5092D"/>
    <w:rsid w:val="00F5182E"/>
    <w:rsid w:val="00F52FEB"/>
    <w:rsid w:val="00F541A4"/>
    <w:rsid w:val="00F54547"/>
    <w:rsid w:val="00F549C1"/>
    <w:rsid w:val="00F54C1C"/>
    <w:rsid w:val="00F557DC"/>
    <w:rsid w:val="00F564B7"/>
    <w:rsid w:val="00F56B11"/>
    <w:rsid w:val="00F6214D"/>
    <w:rsid w:val="00F65375"/>
    <w:rsid w:val="00F65B8A"/>
    <w:rsid w:val="00F664F5"/>
    <w:rsid w:val="00F66810"/>
    <w:rsid w:val="00F672CE"/>
    <w:rsid w:val="00F67466"/>
    <w:rsid w:val="00F67ED1"/>
    <w:rsid w:val="00F70337"/>
    <w:rsid w:val="00F708F4"/>
    <w:rsid w:val="00F70F21"/>
    <w:rsid w:val="00F71C4D"/>
    <w:rsid w:val="00F723A1"/>
    <w:rsid w:val="00F74BFF"/>
    <w:rsid w:val="00F74E1D"/>
    <w:rsid w:val="00F75293"/>
    <w:rsid w:val="00F766CC"/>
    <w:rsid w:val="00F77D1A"/>
    <w:rsid w:val="00F77E2F"/>
    <w:rsid w:val="00F81474"/>
    <w:rsid w:val="00F84C36"/>
    <w:rsid w:val="00F8571C"/>
    <w:rsid w:val="00F86563"/>
    <w:rsid w:val="00F904B6"/>
    <w:rsid w:val="00F90E90"/>
    <w:rsid w:val="00F91A8C"/>
    <w:rsid w:val="00F92F6C"/>
    <w:rsid w:val="00F949FA"/>
    <w:rsid w:val="00F95C3C"/>
    <w:rsid w:val="00F960B9"/>
    <w:rsid w:val="00F96374"/>
    <w:rsid w:val="00F96D9A"/>
    <w:rsid w:val="00F97DD0"/>
    <w:rsid w:val="00FA1558"/>
    <w:rsid w:val="00FA2816"/>
    <w:rsid w:val="00FA2D7F"/>
    <w:rsid w:val="00FA398C"/>
    <w:rsid w:val="00FA40FA"/>
    <w:rsid w:val="00FA65CC"/>
    <w:rsid w:val="00FA665B"/>
    <w:rsid w:val="00FA7181"/>
    <w:rsid w:val="00FB00BA"/>
    <w:rsid w:val="00FB0BC6"/>
    <w:rsid w:val="00FB0CA2"/>
    <w:rsid w:val="00FB343F"/>
    <w:rsid w:val="00FB3977"/>
    <w:rsid w:val="00FB4869"/>
    <w:rsid w:val="00FB5EF2"/>
    <w:rsid w:val="00FB6468"/>
    <w:rsid w:val="00FB69A4"/>
    <w:rsid w:val="00FB6D40"/>
    <w:rsid w:val="00FB739B"/>
    <w:rsid w:val="00FB78BB"/>
    <w:rsid w:val="00FB7908"/>
    <w:rsid w:val="00FC157B"/>
    <w:rsid w:val="00FC2139"/>
    <w:rsid w:val="00FC3615"/>
    <w:rsid w:val="00FC494C"/>
    <w:rsid w:val="00FD0B32"/>
    <w:rsid w:val="00FD25D8"/>
    <w:rsid w:val="00FD29BC"/>
    <w:rsid w:val="00FD2B08"/>
    <w:rsid w:val="00FD2B84"/>
    <w:rsid w:val="00FD566A"/>
    <w:rsid w:val="00FD74BD"/>
    <w:rsid w:val="00FD7B4B"/>
    <w:rsid w:val="00FD7BD8"/>
    <w:rsid w:val="00FE0061"/>
    <w:rsid w:val="00FE2186"/>
    <w:rsid w:val="00FE2B66"/>
    <w:rsid w:val="00FE335C"/>
    <w:rsid w:val="00FE3652"/>
    <w:rsid w:val="00FE36D0"/>
    <w:rsid w:val="00FE65D3"/>
    <w:rsid w:val="00FE713B"/>
    <w:rsid w:val="00FE72BB"/>
    <w:rsid w:val="00FE7509"/>
    <w:rsid w:val="00FF13CD"/>
    <w:rsid w:val="00FF62F0"/>
    <w:rsid w:val="00FF6E19"/>
    <w:rsid w:val="00FF7220"/>
    <w:rsid w:val="017E2122"/>
    <w:rsid w:val="01AB30AB"/>
    <w:rsid w:val="01B3252D"/>
    <w:rsid w:val="024F5FD6"/>
    <w:rsid w:val="025B16BB"/>
    <w:rsid w:val="02C3467F"/>
    <w:rsid w:val="02EC4965"/>
    <w:rsid w:val="030147CB"/>
    <w:rsid w:val="030B2F6F"/>
    <w:rsid w:val="0332708A"/>
    <w:rsid w:val="03582A6E"/>
    <w:rsid w:val="03A70E84"/>
    <w:rsid w:val="0419748C"/>
    <w:rsid w:val="04B114F5"/>
    <w:rsid w:val="04FD3962"/>
    <w:rsid w:val="055F59D7"/>
    <w:rsid w:val="056050BE"/>
    <w:rsid w:val="05BD6A5E"/>
    <w:rsid w:val="0623109E"/>
    <w:rsid w:val="063A7915"/>
    <w:rsid w:val="06B53ACB"/>
    <w:rsid w:val="06BB356B"/>
    <w:rsid w:val="070F1735"/>
    <w:rsid w:val="07173721"/>
    <w:rsid w:val="07211D3A"/>
    <w:rsid w:val="07E55055"/>
    <w:rsid w:val="07FB0F5A"/>
    <w:rsid w:val="08652B2A"/>
    <w:rsid w:val="08C707C2"/>
    <w:rsid w:val="093D374A"/>
    <w:rsid w:val="09594AEC"/>
    <w:rsid w:val="09BC0024"/>
    <w:rsid w:val="0A2371CB"/>
    <w:rsid w:val="0A4065FB"/>
    <w:rsid w:val="0A4F35D3"/>
    <w:rsid w:val="0AA60527"/>
    <w:rsid w:val="0ABD15EB"/>
    <w:rsid w:val="0B045706"/>
    <w:rsid w:val="0B0458EF"/>
    <w:rsid w:val="0B383E0A"/>
    <w:rsid w:val="0B760E83"/>
    <w:rsid w:val="0B975F81"/>
    <w:rsid w:val="0B9D7EEF"/>
    <w:rsid w:val="0BBA2A41"/>
    <w:rsid w:val="0BDA57A7"/>
    <w:rsid w:val="0C3A4401"/>
    <w:rsid w:val="0C80593A"/>
    <w:rsid w:val="0CDE13D2"/>
    <w:rsid w:val="0D704690"/>
    <w:rsid w:val="0D7A17B4"/>
    <w:rsid w:val="0E9D3BE2"/>
    <w:rsid w:val="0EF220B7"/>
    <w:rsid w:val="0F7C2FCB"/>
    <w:rsid w:val="10460245"/>
    <w:rsid w:val="10584DD8"/>
    <w:rsid w:val="105C6CB2"/>
    <w:rsid w:val="10771313"/>
    <w:rsid w:val="10DA1177"/>
    <w:rsid w:val="10DA6534"/>
    <w:rsid w:val="1101469B"/>
    <w:rsid w:val="113F3CCF"/>
    <w:rsid w:val="11425E16"/>
    <w:rsid w:val="11E4303B"/>
    <w:rsid w:val="12805245"/>
    <w:rsid w:val="12870FAF"/>
    <w:rsid w:val="128946AD"/>
    <w:rsid w:val="12D034AC"/>
    <w:rsid w:val="12E0628A"/>
    <w:rsid w:val="1313455D"/>
    <w:rsid w:val="1357734B"/>
    <w:rsid w:val="1371485F"/>
    <w:rsid w:val="139A2696"/>
    <w:rsid w:val="13B934F3"/>
    <w:rsid w:val="14045E7F"/>
    <w:rsid w:val="14174F4B"/>
    <w:rsid w:val="145D4B39"/>
    <w:rsid w:val="14622452"/>
    <w:rsid w:val="14CC4C4A"/>
    <w:rsid w:val="14E5133C"/>
    <w:rsid w:val="15EE4292"/>
    <w:rsid w:val="15F16AC1"/>
    <w:rsid w:val="170630F1"/>
    <w:rsid w:val="177A512A"/>
    <w:rsid w:val="17AA71A0"/>
    <w:rsid w:val="17B5745E"/>
    <w:rsid w:val="17CC5EAD"/>
    <w:rsid w:val="17CD775D"/>
    <w:rsid w:val="181F62CA"/>
    <w:rsid w:val="18477108"/>
    <w:rsid w:val="185F530A"/>
    <w:rsid w:val="18875431"/>
    <w:rsid w:val="189C75E9"/>
    <w:rsid w:val="18A61868"/>
    <w:rsid w:val="18DF4B14"/>
    <w:rsid w:val="19217BFE"/>
    <w:rsid w:val="1947117A"/>
    <w:rsid w:val="1971541C"/>
    <w:rsid w:val="198E32D9"/>
    <w:rsid w:val="1A93497A"/>
    <w:rsid w:val="1ABD3E33"/>
    <w:rsid w:val="1AC4032A"/>
    <w:rsid w:val="1B3B797F"/>
    <w:rsid w:val="1B7B5BD7"/>
    <w:rsid w:val="1B92019F"/>
    <w:rsid w:val="1BB73DA7"/>
    <w:rsid w:val="1C667EF4"/>
    <w:rsid w:val="1CEA3878"/>
    <w:rsid w:val="1D14541C"/>
    <w:rsid w:val="1D830F1E"/>
    <w:rsid w:val="1E6417B9"/>
    <w:rsid w:val="1E642D37"/>
    <w:rsid w:val="1E8242DA"/>
    <w:rsid w:val="1E853993"/>
    <w:rsid w:val="1EE84330"/>
    <w:rsid w:val="1F736568"/>
    <w:rsid w:val="205434F0"/>
    <w:rsid w:val="2067393E"/>
    <w:rsid w:val="20D46F00"/>
    <w:rsid w:val="20D61842"/>
    <w:rsid w:val="210919FA"/>
    <w:rsid w:val="21164B19"/>
    <w:rsid w:val="219517AE"/>
    <w:rsid w:val="21A11128"/>
    <w:rsid w:val="21CC5506"/>
    <w:rsid w:val="21F906CE"/>
    <w:rsid w:val="223B418C"/>
    <w:rsid w:val="224C1FE5"/>
    <w:rsid w:val="224F0236"/>
    <w:rsid w:val="23815044"/>
    <w:rsid w:val="23A06065"/>
    <w:rsid w:val="23D276F2"/>
    <w:rsid w:val="24431B17"/>
    <w:rsid w:val="245C6AD0"/>
    <w:rsid w:val="24A61CD8"/>
    <w:rsid w:val="24C55973"/>
    <w:rsid w:val="24E93E30"/>
    <w:rsid w:val="25175C2A"/>
    <w:rsid w:val="255E2D37"/>
    <w:rsid w:val="25721112"/>
    <w:rsid w:val="2573646A"/>
    <w:rsid w:val="2585134E"/>
    <w:rsid w:val="26406012"/>
    <w:rsid w:val="264812AF"/>
    <w:rsid w:val="265A2641"/>
    <w:rsid w:val="266E3061"/>
    <w:rsid w:val="26727C9D"/>
    <w:rsid w:val="26892922"/>
    <w:rsid w:val="26E50DE9"/>
    <w:rsid w:val="27717F65"/>
    <w:rsid w:val="27BE5684"/>
    <w:rsid w:val="281E6400"/>
    <w:rsid w:val="284D7A8A"/>
    <w:rsid w:val="287D2156"/>
    <w:rsid w:val="28902208"/>
    <w:rsid w:val="28CD4DD7"/>
    <w:rsid w:val="296300F2"/>
    <w:rsid w:val="297A5733"/>
    <w:rsid w:val="29871F08"/>
    <w:rsid w:val="29BA2DE4"/>
    <w:rsid w:val="2A0012A3"/>
    <w:rsid w:val="2A4E62BD"/>
    <w:rsid w:val="2A8F7B55"/>
    <w:rsid w:val="2B1E5ADB"/>
    <w:rsid w:val="2C5106BB"/>
    <w:rsid w:val="2C7322DC"/>
    <w:rsid w:val="2C8B1998"/>
    <w:rsid w:val="2C8D0C8A"/>
    <w:rsid w:val="2CB61FF2"/>
    <w:rsid w:val="2CEA42E0"/>
    <w:rsid w:val="2CF60F0F"/>
    <w:rsid w:val="2D00605A"/>
    <w:rsid w:val="2D683BDB"/>
    <w:rsid w:val="2D854EF8"/>
    <w:rsid w:val="2D8C1EA0"/>
    <w:rsid w:val="2E125983"/>
    <w:rsid w:val="2E285170"/>
    <w:rsid w:val="2E537B37"/>
    <w:rsid w:val="2E637A43"/>
    <w:rsid w:val="2EE831B3"/>
    <w:rsid w:val="2EEC6DD1"/>
    <w:rsid w:val="2F324249"/>
    <w:rsid w:val="300B0E11"/>
    <w:rsid w:val="30746071"/>
    <w:rsid w:val="30826424"/>
    <w:rsid w:val="309913E6"/>
    <w:rsid w:val="30F67CE4"/>
    <w:rsid w:val="31234017"/>
    <w:rsid w:val="31752632"/>
    <w:rsid w:val="317F5BC2"/>
    <w:rsid w:val="31D415A3"/>
    <w:rsid w:val="32FB3300"/>
    <w:rsid w:val="332C2DBD"/>
    <w:rsid w:val="33383898"/>
    <w:rsid w:val="335261CF"/>
    <w:rsid w:val="33736331"/>
    <w:rsid w:val="33826F6E"/>
    <w:rsid w:val="338921B7"/>
    <w:rsid w:val="343C58B1"/>
    <w:rsid w:val="3467768C"/>
    <w:rsid w:val="34C32851"/>
    <w:rsid w:val="34D7761A"/>
    <w:rsid w:val="3510118D"/>
    <w:rsid w:val="35426D40"/>
    <w:rsid w:val="3549354E"/>
    <w:rsid w:val="35F853FB"/>
    <w:rsid w:val="360A599A"/>
    <w:rsid w:val="366E7CEF"/>
    <w:rsid w:val="36C71B2E"/>
    <w:rsid w:val="36F83437"/>
    <w:rsid w:val="36FA5E5F"/>
    <w:rsid w:val="37134EB6"/>
    <w:rsid w:val="376D7938"/>
    <w:rsid w:val="37725070"/>
    <w:rsid w:val="37A97657"/>
    <w:rsid w:val="37CD40F8"/>
    <w:rsid w:val="3824068F"/>
    <w:rsid w:val="38621459"/>
    <w:rsid w:val="388D44F3"/>
    <w:rsid w:val="393A751A"/>
    <w:rsid w:val="397D0DE5"/>
    <w:rsid w:val="397F3D3E"/>
    <w:rsid w:val="39DF1810"/>
    <w:rsid w:val="39E34973"/>
    <w:rsid w:val="39F87399"/>
    <w:rsid w:val="3A0273AC"/>
    <w:rsid w:val="3A6D4C66"/>
    <w:rsid w:val="3A895297"/>
    <w:rsid w:val="3B2D0E5A"/>
    <w:rsid w:val="3B49017E"/>
    <w:rsid w:val="3B6D4D59"/>
    <w:rsid w:val="3BAB2557"/>
    <w:rsid w:val="3BB83726"/>
    <w:rsid w:val="3C0C6C7E"/>
    <w:rsid w:val="3C507707"/>
    <w:rsid w:val="3C5E521E"/>
    <w:rsid w:val="3C612AF0"/>
    <w:rsid w:val="3C911732"/>
    <w:rsid w:val="3C9D6F92"/>
    <w:rsid w:val="3CDE2BC8"/>
    <w:rsid w:val="3D91106A"/>
    <w:rsid w:val="3DDD21F5"/>
    <w:rsid w:val="3E2E29A2"/>
    <w:rsid w:val="3E3E10B3"/>
    <w:rsid w:val="3E816138"/>
    <w:rsid w:val="3ED14882"/>
    <w:rsid w:val="3EEA55C8"/>
    <w:rsid w:val="3F39490C"/>
    <w:rsid w:val="400D341C"/>
    <w:rsid w:val="4037496A"/>
    <w:rsid w:val="407A1836"/>
    <w:rsid w:val="40A5163E"/>
    <w:rsid w:val="40C30EF9"/>
    <w:rsid w:val="40E81DD5"/>
    <w:rsid w:val="41863650"/>
    <w:rsid w:val="4188764D"/>
    <w:rsid w:val="41CD3628"/>
    <w:rsid w:val="4240308C"/>
    <w:rsid w:val="424038EB"/>
    <w:rsid w:val="42831B4B"/>
    <w:rsid w:val="42C30598"/>
    <w:rsid w:val="42F40AF5"/>
    <w:rsid w:val="430849BB"/>
    <w:rsid w:val="43802A77"/>
    <w:rsid w:val="438F6C00"/>
    <w:rsid w:val="43D36843"/>
    <w:rsid w:val="43FC5B2B"/>
    <w:rsid w:val="440A565A"/>
    <w:rsid w:val="44677AC8"/>
    <w:rsid w:val="44F16074"/>
    <w:rsid w:val="450A14CB"/>
    <w:rsid w:val="451C7AB9"/>
    <w:rsid w:val="45547FB6"/>
    <w:rsid w:val="456E2699"/>
    <w:rsid w:val="45A1401F"/>
    <w:rsid w:val="465465B2"/>
    <w:rsid w:val="46E040CE"/>
    <w:rsid w:val="47127CDA"/>
    <w:rsid w:val="47AF17C8"/>
    <w:rsid w:val="47C03545"/>
    <w:rsid w:val="495A3CF8"/>
    <w:rsid w:val="49861767"/>
    <w:rsid w:val="49C12F42"/>
    <w:rsid w:val="49EF6FD7"/>
    <w:rsid w:val="49FB4FE0"/>
    <w:rsid w:val="4A304664"/>
    <w:rsid w:val="4AFA4038"/>
    <w:rsid w:val="4B0524B5"/>
    <w:rsid w:val="4B094844"/>
    <w:rsid w:val="4B37234A"/>
    <w:rsid w:val="4BAF0192"/>
    <w:rsid w:val="4BF07E40"/>
    <w:rsid w:val="4BFD7CA4"/>
    <w:rsid w:val="4C6C402E"/>
    <w:rsid w:val="4CCF6958"/>
    <w:rsid w:val="4CD706B6"/>
    <w:rsid w:val="4D176406"/>
    <w:rsid w:val="4D3874B5"/>
    <w:rsid w:val="4D65713C"/>
    <w:rsid w:val="4D9222D5"/>
    <w:rsid w:val="4DC453DC"/>
    <w:rsid w:val="4E746E3F"/>
    <w:rsid w:val="4E8C1DC1"/>
    <w:rsid w:val="4EA80CB5"/>
    <w:rsid w:val="4ED03B57"/>
    <w:rsid w:val="4F2939EE"/>
    <w:rsid w:val="4F591E88"/>
    <w:rsid w:val="4F5C727B"/>
    <w:rsid w:val="4F7B79C6"/>
    <w:rsid w:val="4FA31186"/>
    <w:rsid w:val="4FB45911"/>
    <w:rsid w:val="4FC85603"/>
    <w:rsid w:val="4FE309B5"/>
    <w:rsid w:val="50104F8F"/>
    <w:rsid w:val="502B5EFF"/>
    <w:rsid w:val="503E6D92"/>
    <w:rsid w:val="50962367"/>
    <w:rsid w:val="5099031A"/>
    <w:rsid w:val="50DA3A70"/>
    <w:rsid w:val="50E93F8A"/>
    <w:rsid w:val="523A3471"/>
    <w:rsid w:val="52CD27D0"/>
    <w:rsid w:val="52CF6834"/>
    <w:rsid w:val="53265042"/>
    <w:rsid w:val="532E3D09"/>
    <w:rsid w:val="53735C57"/>
    <w:rsid w:val="545048D1"/>
    <w:rsid w:val="54D54762"/>
    <w:rsid w:val="550A715B"/>
    <w:rsid w:val="556A1A9E"/>
    <w:rsid w:val="557841B9"/>
    <w:rsid w:val="559F585B"/>
    <w:rsid w:val="55F01E46"/>
    <w:rsid w:val="564906B0"/>
    <w:rsid w:val="56614C93"/>
    <w:rsid w:val="56AA7E50"/>
    <w:rsid w:val="56D61613"/>
    <w:rsid w:val="572C30CC"/>
    <w:rsid w:val="573E2C11"/>
    <w:rsid w:val="57B201DC"/>
    <w:rsid w:val="58012F6A"/>
    <w:rsid w:val="58052485"/>
    <w:rsid w:val="58331233"/>
    <w:rsid w:val="584A65B8"/>
    <w:rsid w:val="58C95BC5"/>
    <w:rsid w:val="58EF5A30"/>
    <w:rsid w:val="58FF17A2"/>
    <w:rsid w:val="590B4621"/>
    <w:rsid w:val="593B5DF4"/>
    <w:rsid w:val="596E4B15"/>
    <w:rsid w:val="59B62144"/>
    <w:rsid w:val="5A0B7A3A"/>
    <w:rsid w:val="5A997329"/>
    <w:rsid w:val="5AF71C51"/>
    <w:rsid w:val="5B787F4F"/>
    <w:rsid w:val="5BDA33CD"/>
    <w:rsid w:val="5C5E30F2"/>
    <w:rsid w:val="5C64164C"/>
    <w:rsid w:val="5CDC34D9"/>
    <w:rsid w:val="5D5B2E9F"/>
    <w:rsid w:val="5D874F09"/>
    <w:rsid w:val="5DE77D74"/>
    <w:rsid w:val="5DF7433B"/>
    <w:rsid w:val="5EB6786E"/>
    <w:rsid w:val="5F220820"/>
    <w:rsid w:val="5F2512A4"/>
    <w:rsid w:val="5F4859A3"/>
    <w:rsid w:val="5F8B60CF"/>
    <w:rsid w:val="5FBA1FCB"/>
    <w:rsid w:val="5FE50C1F"/>
    <w:rsid w:val="5FF26E47"/>
    <w:rsid w:val="600745B9"/>
    <w:rsid w:val="605B4AE8"/>
    <w:rsid w:val="60900174"/>
    <w:rsid w:val="60D71040"/>
    <w:rsid w:val="612E0B1E"/>
    <w:rsid w:val="616007D7"/>
    <w:rsid w:val="616101BF"/>
    <w:rsid w:val="616612DA"/>
    <w:rsid w:val="6170388C"/>
    <w:rsid w:val="61BA7876"/>
    <w:rsid w:val="62135BF1"/>
    <w:rsid w:val="62366D51"/>
    <w:rsid w:val="62836AA3"/>
    <w:rsid w:val="62F1740A"/>
    <w:rsid w:val="631A3289"/>
    <w:rsid w:val="631F3FA1"/>
    <w:rsid w:val="63347DB1"/>
    <w:rsid w:val="64CD18A2"/>
    <w:rsid w:val="65DE32D7"/>
    <w:rsid w:val="65ED72FE"/>
    <w:rsid w:val="666C0181"/>
    <w:rsid w:val="66C45526"/>
    <w:rsid w:val="66E347BC"/>
    <w:rsid w:val="67196017"/>
    <w:rsid w:val="673D4DB6"/>
    <w:rsid w:val="675A64F8"/>
    <w:rsid w:val="67932519"/>
    <w:rsid w:val="67C962C5"/>
    <w:rsid w:val="68346C62"/>
    <w:rsid w:val="683829E2"/>
    <w:rsid w:val="683D1D2C"/>
    <w:rsid w:val="684E68A0"/>
    <w:rsid w:val="689528D4"/>
    <w:rsid w:val="68F031AA"/>
    <w:rsid w:val="69003DDA"/>
    <w:rsid w:val="691D55B6"/>
    <w:rsid w:val="69243D8C"/>
    <w:rsid w:val="698914B6"/>
    <w:rsid w:val="698D428B"/>
    <w:rsid w:val="69EB188B"/>
    <w:rsid w:val="6A377AD7"/>
    <w:rsid w:val="6A46433E"/>
    <w:rsid w:val="6A6F572D"/>
    <w:rsid w:val="6A945C0A"/>
    <w:rsid w:val="6BA2457E"/>
    <w:rsid w:val="6BD557C7"/>
    <w:rsid w:val="6C010AD5"/>
    <w:rsid w:val="6C126CCD"/>
    <w:rsid w:val="6C6A2EA0"/>
    <w:rsid w:val="6CA441A2"/>
    <w:rsid w:val="6CDD66DC"/>
    <w:rsid w:val="6D54254E"/>
    <w:rsid w:val="6D955536"/>
    <w:rsid w:val="6D976E12"/>
    <w:rsid w:val="6DC92D05"/>
    <w:rsid w:val="6E404AFC"/>
    <w:rsid w:val="6EBC1487"/>
    <w:rsid w:val="6EE41084"/>
    <w:rsid w:val="6F174B92"/>
    <w:rsid w:val="6F4956B3"/>
    <w:rsid w:val="6F86696B"/>
    <w:rsid w:val="6F951DAD"/>
    <w:rsid w:val="6F9C37C2"/>
    <w:rsid w:val="70254A76"/>
    <w:rsid w:val="702B2A58"/>
    <w:rsid w:val="702F44CB"/>
    <w:rsid w:val="704F3A07"/>
    <w:rsid w:val="707E35B0"/>
    <w:rsid w:val="70846213"/>
    <w:rsid w:val="70EB6175"/>
    <w:rsid w:val="71C80862"/>
    <w:rsid w:val="723032F3"/>
    <w:rsid w:val="728A035E"/>
    <w:rsid w:val="72A0368C"/>
    <w:rsid w:val="72C004B3"/>
    <w:rsid w:val="72DE4999"/>
    <w:rsid w:val="732D50BF"/>
    <w:rsid w:val="73E052AB"/>
    <w:rsid w:val="745428BD"/>
    <w:rsid w:val="745B4631"/>
    <w:rsid w:val="74961E5D"/>
    <w:rsid w:val="74D84546"/>
    <w:rsid w:val="752B5DDC"/>
    <w:rsid w:val="76467C3A"/>
    <w:rsid w:val="76E2144B"/>
    <w:rsid w:val="77041277"/>
    <w:rsid w:val="77916BA1"/>
    <w:rsid w:val="77A84C07"/>
    <w:rsid w:val="77F53029"/>
    <w:rsid w:val="783F60A0"/>
    <w:rsid w:val="7852351D"/>
    <w:rsid w:val="78BC529E"/>
    <w:rsid w:val="78C62FF1"/>
    <w:rsid w:val="78CF3AD0"/>
    <w:rsid w:val="796C00BF"/>
    <w:rsid w:val="79B04AA8"/>
    <w:rsid w:val="79B120E8"/>
    <w:rsid w:val="79DD4BA1"/>
    <w:rsid w:val="7A6E3A58"/>
    <w:rsid w:val="7B062457"/>
    <w:rsid w:val="7B2A6FFB"/>
    <w:rsid w:val="7B540B2B"/>
    <w:rsid w:val="7B664DC9"/>
    <w:rsid w:val="7C2C03AD"/>
    <w:rsid w:val="7C9A39C7"/>
    <w:rsid w:val="7CB31DA7"/>
    <w:rsid w:val="7D047EDE"/>
    <w:rsid w:val="7D20124B"/>
    <w:rsid w:val="7D472D74"/>
    <w:rsid w:val="7E3E5EA1"/>
    <w:rsid w:val="7E503032"/>
    <w:rsid w:val="7EA07B76"/>
    <w:rsid w:val="7EA848F4"/>
    <w:rsid w:val="7F083A85"/>
    <w:rsid w:val="7F2521F4"/>
    <w:rsid w:val="7F5F7B66"/>
    <w:rsid w:val="7F9A0270"/>
    <w:rsid w:val="7FAF4079"/>
    <w:rsid w:val="7FBD539F"/>
    <w:rsid w:val="7FD60A8A"/>
    <w:rsid w:val="7FEB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annotation reference" w:semiHidden="1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580" w:lineRule="exact"/>
      <w:ind w:firstLineChars="200" w:firstLine="200"/>
      <w:jc w:val="both"/>
    </w:pPr>
    <w:rPr>
      <w:rFonts w:ascii="Times New Roman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Plain Text"/>
    <w:basedOn w:val="a"/>
    <w:qFormat/>
    <w:rPr>
      <w:rFonts w:ascii="宋体" w:hAnsi="Courier New"/>
      <w:szCs w:val="20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endnote text"/>
    <w:basedOn w:val="a"/>
    <w:link w:val="Char"/>
    <w:qFormat/>
    <w:pPr>
      <w:snapToGrid w:val="0"/>
      <w:jc w:val="left"/>
    </w:pPr>
  </w:style>
  <w:style w:type="paragraph" w:styleId="a7">
    <w:name w:val="Balloon Text"/>
    <w:basedOn w:val="a"/>
    <w:link w:val="Char0"/>
    <w:qFormat/>
    <w:rPr>
      <w:sz w:val="18"/>
      <w:szCs w:val="18"/>
    </w:rPr>
  </w:style>
  <w:style w:type="paragraph" w:styleId="a8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note text"/>
    <w:basedOn w:val="a"/>
    <w:link w:val="Char3"/>
    <w:qFormat/>
    <w:pPr>
      <w:snapToGrid w:val="0"/>
      <w:jc w:val="left"/>
    </w:pPr>
    <w:rPr>
      <w:sz w:val="18"/>
      <w:szCs w:val="18"/>
    </w:rPr>
  </w:style>
  <w:style w:type="paragraph" w:styleId="ab">
    <w:name w:val="annotation subject"/>
    <w:basedOn w:val="a3"/>
    <w:next w:val="a3"/>
    <w:semiHidden/>
    <w:qFormat/>
    <w:rPr>
      <w:b/>
      <w:bCs/>
    </w:rPr>
  </w:style>
  <w:style w:type="table" w:styleId="ac">
    <w:name w:val="Table Grid"/>
    <w:basedOn w:val="a1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Pr>
      <w:b/>
      <w:bCs/>
    </w:rPr>
  </w:style>
  <w:style w:type="character" w:styleId="ae">
    <w:name w:val="endnote reference"/>
    <w:basedOn w:val="a0"/>
    <w:qFormat/>
    <w:rPr>
      <w:vertAlign w:val="superscript"/>
    </w:rPr>
  </w:style>
  <w:style w:type="character" w:styleId="af">
    <w:name w:val="page number"/>
    <w:basedOn w:val="a0"/>
    <w:qFormat/>
  </w:style>
  <w:style w:type="character" w:styleId="af0">
    <w:name w:val="FollowedHyperlink"/>
    <w:basedOn w:val="a0"/>
    <w:qFormat/>
    <w:rPr>
      <w:color w:val="333333"/>
      <w:u w:val="none"/>
    </w:rPr>
  </w:style>
  <w:style w:type="character" w:styleId="af1">
    <w:name w:val="Hyperlink"/>
    <w:basedOn w:val="a0"/>
    <w:qFormat/>
    <w:rPr>
      <w:color w:val="333333"/>
      <w:u w:val="none"/>
    </w:rPr>
  </w:style>
  <w:style w:type="character" w:styleId="af2">
    <w:name w:val="annotation reference"/>
    <w:semiHidden/>
    <w:qFormat/>
    <w:rPr>
      <w:sz w:val="21"/>
      <w:szCs w:val="21"/>
    </w:rPr>
  </w:style>
  <w:style w:type="character" w:styleId="af3">
    <w:name w:val="footnote reference"/>
    <w:basedOn w:val="a0"/>
    <w:qFormat/>
    <w:rPr>
      <w:vertAlign w:val="superscript"/>
    </w:rPr>
  </w:style>
  <w:style w:type="paragraph" w:customStyle="1" w:styleId="1">
    <w:name w:val="正文1"/>
    <w:basedOn w:val="a"/>
    <w:next w:val="a"/>
    <w:qFormat/>
    <w:pPr>
      <w:spacing w:before="156" w:line="360" w:lineRule="auto"/>
      <w:ind w:firstLineChars="257" w:firstLine="668"/>
    </w:pPr>
    <w:rPr>
      <w:rFonts w:ascii="宋体" w:hAnsi="宋体"/>
    </w:rPr>
  </w:style>
  <w:style w:type="character" w:customStyle="1" w:styleId="Char0">
    <w:name w:val="批注框文本 Char"/>
    <w:link w:val="a7"/>
    <w:qFormat/>
    <w:rPr>
      <w:kern w:val="2"/>
      <w:sz w:val="18"/>
      <w:szCs w:val="18"/>
    </w:rPr>
  </w:style>
  <w:style w:type="character" w:customStyle="1" w:styleId="searchcontent1">
    <w:name w:val="search_content1"/>
    <w:qFormat/>
    <w:rPr>
      <w:sz w:val="20"/>
      <w:szCs w:val="20"/>
    </w:rPr>
  </w:style>
  <w:style w:type="character" w:customStyle="1" w:styleId="Char1">
    <w:name w:val="页脚 Char"/>
    <w:link w:val="a8"/>
    <w:qFormat/>
    <w:rPr>
      <w:kern w:val="2"/>
      <w:sz w:val="18"/>
      <w:szCs w:val="18"/>
    </w:rPr>
  </w:style>
  <w:style w:type="character" w:customStyle="1" w:styleId="Char2">
    <w:name w:val="页眉 Char"/>
    <w:link w:val="a9"/>
    <w:qFormat/>
    <w:rPr>
      <w:kern w:val="2"/>
      <w:sz w:val="18"/>
      <w:szCs w:val="18"/>
    </w:rPr>
  </w:style>
  <w:style w:type="paragraph" w:customStyle="1" w:styleId="CharCharCharCharCharChar1Char">
    <w:name w:val="Char Char Char Char Char Char1 Char"/>
    <w:basedOn w:val="a"/>
    <w:qFormat/>
    <w:pPr>
      <w:spacing w:after="160" w:line="240" w:lineRule="exact"/>
      <w:jc w:val="left"/>
    </w:pPr>
    <w:rPr>
      <w:szCs w:val="24"/>
    </w:rPr>
  </w:style>
  <w:style w:type="paragraph" w:customStyle="1" w:styleId="Style18">
    <w:name w:val="_Style 18"/>
    <w:basedOn w:val="a"/>
    <w:qFormat/>
    <w:rPr>
      <w:szCs w:val="24"/>
    </w:rPr>
  </w:style>
  <w:style w:type="paragraph" w:customStyle="1" w:styleId="p0">
    <w:name w:val="p0"/>
    <w:basedOn w:val="a"/>
    <w:qFormat/>
    <w:pPr>
      <w:spacing w:line="365" w:lineRule="atLeast"/>
      <w:ind w:left="1"/>
    </w:pPr>
    <w:rPr>
      <w:kern w:val="0"/>
      <w:sz w:val="20"/>
      <w:szCs w:val="20"/>
    </w:rPr>
  </w:style>
  <w:style w:type="paragraph" w:customStyle="1" w:styleId="Style1">
    <w:name w:val="_Style 1"/>
    <w:basedOn w:val="a"/>
    <w:qFormat/>
    <w:rPr>
      <w:szCs w:val="24"/>
    </w:rPr>
  </w:style>
  <w:style w:type="paragraph" w:customStyle="1" w:styleId="Char4">
    <w:name w:val="Char"/>
    <w:basedOn w:val="a"/>
    <w:qFormat/>
    <w:rPr>
      <w:szCs w:val="24"/>
    </w:rPr>
  </w:style>
  <w:style w:type="paragraph" w:customStyle="1" w:styleId="CharCharCharChar">
    <w:name w:val="Char Char Char Char"/>
    <w:basedOn w:val="a"/>
    <w:qFormat/>
    <w:rPr>
      <w:szCs w:val="21"/>
    </w:rPr>
  </w:style>
  <w:style w:type="paragraph" w:customStyle="1" w:styleId="CharChar3">
    <w:name w:val="Char Char3"/>
    <w:basedOn w:val="a"/>
    <w:qFormat/>
    <w:rPr>
      <w:szCs w:val="21"/>
    </w:rPr>
  </w:style>
  <w:style w:type="paragraph" w:customStyle="1" w:styleId="Char10">
    <w:name w:val="Char1"/>
    <w:basedOn w:val="a"/>
    <w:qFormat/>
    <w:pPr>
      <w:tabs>
        <w:tab w:val="left" w:pos="360"/>
      </w:tabs>
      <w:snapToGrid w:val="0"/>
      <w:spacing w:line="360" w:lineRule="auto"/>
    </w:pPr>
    <w:rPr>
      <w:szCs w:val="20"/>
    </w:rPr>
  </w:style>
  <w:style w:type="paragraph" w:customStyle="1" w:styleId="CharCharCharCharCharChar1CharCharCharChar">
    <w:name w:val="Char Char Char Char Char Char1 Char Char Char Char"/>
    <w:basedOn w:val="a"/>
    <w:qFormat/>
    <w:pPr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CharCharCharCharCharCharCharCharCharChar">
    <w:name w:val="Char Char Char Char Char Char Char Char Char Char"/>
    <w:basedOn w:val="a"/>
    <w:qFormat/>
    <w:rPr>
      <w:szCs w:val="20"/>
    </w:rPr>
  </w:style>
  <w:style w:type="paragraph" w:customStyle="1" w:styleId="CharCharCharCharCharCharChar">
    <w:name w:val="Char Char Char Char Char Char Char"/>
    <w:basedOn w:val="a"/>
    <w:qFormat/>
    <w:rPr>
      <w:rFonts w:eastAsia="永中宋体"/>
      <w:color w:val="000000"/>
      <w:kern w:val="0"/>
      <w:szCs w:val="20"/>
      <w:u w:color="000000"/>
    </w:rPr>
  </w:style>
  <w:style w:type="paragraph" w:customStyle="1" w:styleId="Char20">
    <w:name w:val="Char2"/>
    <w:basedOn w:val="a"/>
    <w:qFormat/>
    <w:pPr>
      <w:spacing w:after="160" w:line="240" w:lineRule="exact"/>
      <w:jc w:val="left"/>
    </w:pPr>
    <w:rPr>
      <w:szCs w:val="20"/>
    </w:rPr>
  </w:style>
  <w:style w:type="paragraph" w:customStyle="1" w:styleId="p15">
    <w:name w:val="p15"/>
    <w:basedOn w:val="a"/>
    <w:qFormat/>
    <w:pPr>
      <w:spacing w:before="100" w:after="100" w:line="365" w:lineRule="atLeast"/>
      <w:ind w:left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3">
    <w:name w:val="脚注文本 Char"/>
    <w:basedOn w:val="a0"/>
    <w:link w:val="aa"/>
    <w:qFormat/>
    <w:rPr>
      <w:kern w:val="2"/>
      <w:sz w:val="18"/>
      <w:szCs w:val="18"/>
    </w:rPr>
  </w:style>
  <w:style w:type="character" w:customStyle="1" w:styleId="Char">
    <w:name w:val="尾注文本 Char"/>
    <w:basedOn w:val="a0"/>
    <w:link w:val="a6"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annotation reference" w:semiHidden="1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580" w:lineRule="exact"/>
      <w:ind w:firstLineChars="200" w:firstLine="200"/>
      <w:jc w:val="both"/>
    </w:pPr>
    <w:rPr>
      <w:rFonts w:ascii="Times New Roman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Plain Text"/>
    <w:basedOn w:val="a"/>
    <w:qFormat/>
    <w:rPr>
      <w:rFonts w:ascii="宋体" w:hAnsi="Courier New"/>
      <w:szCs w:val="20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endnote text"/>
    <w:basedOn w:val="a"/>
    <w:link w:val="Char"/>
    <w:qFormat/>
    <w:pPr>
      <w:snapToGrid w:val="0"/>
      <w:jc w:val="left"/>
    </w:pPr>
  </w:style>
  <w:style w:type="paragraph" w:styleId="a7">
    <w:name w:val="Balloon Text"/>
    <w:basedOn w:val="a"/>
    <w:link w:val="Char0"/>
    <w:qFormat/>
    <w:rPr>
      <w:sz w:val="18"/>
      <w:szCs w:val="18"/>
    </w:rPr>
  </w:style>
  <w:style w:type="paragraph" w:styleId="a8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note text"/>
    <w:basedOn w:val="a"/>
    <w:link w:val="Char3"/>
    <w:qFormat/>
    <w:pPr>
      <w:snapToGrid w:val="0"/>
      <w:jc w:val="left"/>
    </w:pPr>
    <w:rPr>
      <w:sz w:val="18"/>
      <w:szCs w:val="18"/>
    </w:rPr>
  </w:style>
  <w:style w:type="paragraph" w:styleId="ab">
    <w:name w:val="annotation subject"/>
    <w:basedOn w:val="a3"/>
    <w:next w:val="a3"/>
    <w:semiHidden/>
    <w:qFormat/>
    <w:rPr>
      <w:b/>
      <w:bCs/>
    </w:rPr>
  </w:style>
  <w:style w:type="table" w:styleId="ac">
    <w:name w:val="Table Grid"/>
    <w:basedOn w:val="a1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Pr>
      <w:b/>
      <w:bCs/>
    </w:rPr>
  </w:style>
  <w:style w:type="character" w:styleId="ae">
    <w:name w:val="endnote reference"/>
    <w:basedOn w:val="a0"/>
    <w:qFormat/>
    <w:rPr>
      <w:vertAlign w:val="superscript"/>
    </w:rPr>
  </w:style>
  <w:style w:type="character" w:styleId="af">
    <w:name w:val="page number"/>
    <w:basedOn w:val="a0"/>
    <w:qFormat/>
  </w:style>
  <w:style w:type="character" w:styleId="af0">
    <w:name w:val="FollowedHyperlink"/>
    <w:basedOn w:val="a0"/>
    <w:qFormat/>
    <w:rPr>
      <w:color w:val="333333"/>
      <w:u w:val="none"/>
    </w:rPr>
  </w:style>
  <w:style w:type="character" w:styleId="af1">
    <w:name w:val="Hyperlink"/>
    <w:basedOn w:val="a0"/>
    <w:qFormat/>
    <w:rPr>
      <w:color w:val="333333"/>
      <w:u w:val="none"/>
    </w:rPr>
  </w:style>
  <w:style w:type="character" w:styleId="af2">
    <w:name w:val="annotation reference"/>
    <w:semiHidden/>
    <w:qFormat/>
    <w:rPr>
      <w:sz w:val="21"/>
      <w:szCs w:val="21"/>
    </w:rPr>
  </w:style>
  <w:style w:type="character" w:styleId="af3">
    <w:name w:val="footnote reference"/>
    <w:basedOn w:val="a0"/>
    <w:qFormat/>
    <w:rPr>
      <w:vertAlign w:val="superscript"/>
    </w:rPr>
  </w:style>
  <w:style w:type="paragraph" w:customStyle="1" w:styleId="1">
    <w:name w:val="正文1"/>
    <w:basedOn w:val="a"/>
    <w:next w:val="a"/>
    <w:qFormat/>
    <w:pPr>
      <w:spacing w:before="156" w:line="360" w:lineRule="auto"/>
      <w:ind w:firstLineChars="257" w:firstLine="668"/>
    </w:pPr>
    <w:rPr>
      <w:rFonts w:ascii="宋体" w:hAnsi="宋体"/>
    </w:rPr>
  </w:style>
  <w:style w:type="character" w:customStyle="1" w:styleId="Char0">
    <w:name w:val="批注框文本 Char"/>
    <w:link w:val="a7"/>
    <w:qFormat/>
    <w:rPr>
      <w:kern w:val="2"/>
      <w:sz w:val="18"/>
      <w:szCs w:val="18"/>
    </w:rPr>
  </w:style>
  <w:style w:type="character" w:customStyle="1" w:styleId="searchcontent1">
    <w:name w:val="search_content1"/>
    <w:qFormat/>
    <w:rPr>
      <w:sz w:val="20"/>
      <w:szCs w:val="20"/>
    </w:rPr>
  </w:style>
  <w:style w:type="character" w:customStyle="1" w:styleId="Char1">
    <w:name w:val="页脚 Char"/>
    <w:link w:val="a8"/>
    <w:qFormat/>
    <w:rPr>
      <w:kern w:val="2"/>
      <w:sz w:val="18"/>
      <w:szCs w:val="18"/>
    </w:rPr>
  </w:style>
  <w:style w:type="character" w:customStyle="1" w:styleId="Char2">
    <w:name w:val="页眉 Char"/>
    <w:link w:val="a9"/>
    <w:qFormat/>
    <w:rPr>
      <w:kern w:val="2"/>
      <w:sz w:val="18"/>
      <w:szCs w:val="18"/>
    </w:rPr>
  </w:style>
  <w:style w:type="paragraph" w:customStyle="1" w:styleId="CharCharCharCharCharChar1Char">
    <w:name w:val="Char Char Char Char Char Char1 Char"/>
    <w:basedOn w:val="a"/>
    <w:qFormat/>
    <w:pPr>
      <w:spacing w:after="160" w:line="240" w:lineRule="exact"/>
      <w:jc w:val="left"/>
    </w:pPr>
    <w:rPr>
      <w:szCs w:val="24"/>
    </w:rPr>
  </w:style>
  <w:style w:type="paragraph" w:customStyle="1" w:styleId="Style18">
    <w:name w:val="_Style 18"/>
    <w:basedOn w:val="a"/>
    <w:qFormat/>
    <w:rPr>
      <w:szCs w:val="24"/>
    </w:rPr>
  </w:style>
  <w:style w:type="paragraph" w:customStyle="1" w:styleId="p0">
    <w:name w:val="p0"/>
    <w:basedOn w:val="a"/>
    <w:qFormat/>
    <w:pPr>
      <w:spacing w:line="365" w:lineRule="atLeast"/>
      <w:ind w:left="1"/>
    </w:pPr>
    <w:rPr>
      <w:kern w:val="0"/>
      <w:sz w:val="20"/>
      <w:szCs w:val="20"/>
    </w:rPr>
  </w:style>
  <w:style w:type="paragraph" w:customStyle="1" w:styleId="Style1">
    <w:name w:val="_Style 1"/>
    <w:basedOn w:val="a"/>
    <w:qFormat/>
    <w:rPr>
      <w:szCs w:val="24"/>
    </w:rPr>
  </w:style>
  <w:style w:type="paragraph" w:customStyle="1" w:styleId="Char4">
    <w:name w:val="Char"/>
    <w:basedOn w:val="a"/>
    <w:qFormat/>
    <w:rPr>
      <w:szCs w:val="24"/>
    </w:rPr>
  </w:style>
  <w:style w:type="paragraph" w:customStyle="1" w:styleId="CharCharCharChar">
    <w:name w:val="Char Char Char Char"/>
    <w:basedOn w:val="a"/>
    <w:qFormat/>
    <w:rPr>
      <w:szCs w:val="21"/>
    </w:rPr>
  </w:style>
  <w:style w:type="paragraph" w:customStyle="1" w:styleId="CharChar3">
    <w:name w:val="Char Char3"/>
    <w:basedOn w:val="a"/>
    <w:qFormat/>
    <w:rPr>
      <w:szCs w:val="21"/>
    </w:rPr>
  </w:style>
  <w:style w:type="paragraph" w:customStyle="1" w:styleId="Char10">
    <w:name w:val="Char1"/>
    <w:basedOn w:val="a"/>
    <w:qFormat/>
    <w:pPr>
      <w:tabs>
        <w:tab w:val="left" w:pos="360"/>
      </w:tabs>
      <w:snapToGrid w:val="0"/>
      <w:spacing w:line="360" w:lineRule="auto"/>
    </w:pPr>
    <w:rPr>
      <w:szCs w:val="20"/>
    </w:rPr>
  </w:style>
  <w:style w:type="paragraph" w:customStyle="1" w:styleId="CharCharCharCharCharChar1CharCharCharChar">
    <w:name w:val="Char Char Char Char Char Char1 Char Char Char Char"/>
    <w:basedOn w:val="a"/>
    <w:qFormat/>
    <w:pPr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CharCharCharCharCharCharCharCharCharChar">
    <w:name w:val="Char Char Char Char Char Char Char Char Char Char"/>
    <w:basedOn w:val="a"/>
    <w:qFormat/>
    <w:rPr>
      <w:szCs w:val="20"/>
    </w:rPr>
  </w:style>
  <w:style w:type="paragraph" w:customStyle="1" w:styleId="CharCharCharCharCharCharChar">
    <w:name w:val="Char Char Char Char Char Char Char"/>
    <w:basedOn w:val="a"/>
    <w:qFormat/>
    <w:rPr>
      <w:rFonts w:eastAsia="永中宋体"/>
      <w:color w:val="000000"/>
      <w:kern w:val="0"/>
      <w:szCs w:val="20"/>
      <w:u w:color="000000"/>
    </w:rPr>
  </w:style>
  <w:style w:type="paragraph" w:customStyle="1" w:styleId="Char20">
    <w:name w:val="Char2"/>
    <w:basedOn w:val="a"/>
    <w:qFormat/>
    <w:pPr>
      <w:spacing w:after="160" w:line="240" w:lineRule="exact"/>
      <w:jc w:val="left"/>
    </w:pPr>
    <w:rPr>
      <w:szCs w:val="20"/>
    </w:rPr>
  </w:style>
  <w:style w:type="paragraph" w:customStyle="1" w:styleId="p15">
    <w:name w:val="p15"/>
    <w:basedOn w:val="a"/>
    <w:qFormat/>
    <w:pPr>
      <w:spacing w:before="100" w:after="100" w:line="365" w:lineRule="atLeast"/>
      <w:ind w:left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3">
    <w:name w:val="脚注文本 Char"/>
    <w:basedOn w:val="a0"/>
    <w:link w:val="aa"/>
    <w:qFormat/>
    <w:rPr>
      <w:kern w:val="2"/>
      <w:sz w:val="18"/>
      <w:szCs w:val="18"/>
    </w:rPr>
  </w:style>
  <w:style w:type="character" w:customStyle="1" w:styleId="Char">
    <w:name w:val="尾注文本 Char"/>
    <w:basedOn w:val="a0"/>
    <w:link w:val="a6"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chart" Target="charts/chart6.xml"/><Relationship Id="rId23" Type="http://schemas.openxmlformats.org/officeDocument/2006/relationships/footer" Target="footer2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5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44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r>
              <a:rPr lang="zh-CN" altLang="en-US" sz="1440" b="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Times New Roman" panose="02020603050405020304" charset="0"/>
              </a:rPr>
              <a:t>图</a:t>
            </a:r>
            <a:r>
              <a:rPr lang="en-US" altLang="zh-CN" sz="1440" b="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Times New Roman" panose="02020603050405020304" charset="0"/>
              </a:rPr>
              <a:t>1</a:t>
            </a:r>
            <a:r>
              <a:rPr lang="en-US" altLang="zh-CN" sz="1440" b="0" i="0" u="none" strike="noStrike" baseline="0">
                <a:effectLst/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Times New Roman" panose="02020603050405020304" charset="0"/>
              </a:rPr>
              <a:t>  </a:t>
            </a:r>
            <a:r>
              <a:rPr lang="en-US" altLang="zh-CN" sz="1440" b="0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2016-2020</a:t>
            </a:r>
            <a:r>
              <a:rPr lang="zh-CN" altLang="en-US" sz="1440" b="0">
                <a:latin typeface="黑体" panose="02010609060101010101" charset="-122"/>
                <a:ea typeface="黑体" panose="02010609060101010101" charset="-122"/>
                <a:cs typeface="Times New Roman" panose="02020603050405020304" charset="0"/>
                <a:sym typeface="Times New Roman" panose="02020603050405020304" charset="0"/>
              </a:rPr>
              <a:t>年地区生产总值及增速</a:t>
            </a:r>
          </a:p>
        </c:rich>
      </c:tx>
      <c:layout>
        <c:manualLayout>
          <c:xMode val="edge"/>
          <c:yMode val="edge"/>
          <c:x val="0.16646678888851299"/>
          <c:y val="0"/>
        </c:manualLayout>
      </c:layout>
      <c:overlay val="0"/>
      <c:spPr>
        <a:noFill/>
        <a:ln w="2156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0084433890208195E-2"/>
          <c:y val="0.18381706244503099"/>
          <c:w val="0.85662736602369105"/>
          <c:h val="0.69771328056288495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Sheet1!$A$3</c:f>
              <c:strCache>
                <c:ptCount val="1"/>
                <c:pt idx="0">
                  <c:v>绝对额</c:v>
                </c:pt>
              </c:strCache>
            </c:strRef>
          </c:tx>
          <c:spPr>
            <a:solidFill>
              <a:schemeClr val="accent2"/>
            </a:solidFill>
            <a:ln w="10780">
              <a:noFill/>
              <a:prstDash val="solid"/>
            </a:ln>
          </c:spPr>
          <c:invertIfNegative val="0"/>
          <c:dLbls>
            <c:dLbl>
              <c:idx val="1"/>
              <c:numFmt formatCode="0.00_);[Red]\(0.00\)" sourceLinked="0"/>
              <c:spPr>
                <a:noFill/>
                <a:ln w="21561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50" b="0" i="0" u="none" strike="noStrike" kern="1200" baseline="0">
                      <a:solidFill>
                        <a:srgbClr val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numFmt formatCode="0.00_);[Red]\(0.00\)" sourceLinked="0"/>
              <c:spPr>
                <a:noFill/>
                <a:ln w="21561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50" b="0" i="0" u="none" strike="noStrike" kern="1200" baseline="0">
                      <a:solidFill>
                        <a:srgbClr val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numFmt formatCode="0.00_);[Red]\(0.00\)" sourceLinked="0"/>
              <c:spPr>
                <a:noFill/>
                <a:ln w="21561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50" b="0" i="0" u="none" strike="noStrike" kern="1200" baseline="0">
                      <a:solidFill>
                        <a:srgbClr val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numFmt formatCode="0.00_);[Red]\(0.00\)" sourceLinked="0"/>
              <c:spPr>
                <a:noFill/>
                <a:ln w="21561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50" b="0" i="0" u="none" strike="noStrike" kern="1200" baseline="0">
                      <a:solidFill>
                        <a:srgbClr val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0_);[Red]\(0.00\)" sourceLinked="0"/>
            <c:spPr>
              <a:noFill/>
              <a:ln w="21561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50" b="0" i="0" u="none" strike="noStrike" kern="1200" baseline="0">
                    <a:solidFill>
                      <a:srgbClr val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Sheet1!$B$1:$F$1</c:f>
              <c:strCache>
                <c:ptCount val="5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  <c:pt idx="3">
                  <c:v>2019年</c:v>
                </c:pt>
                <c:pt idx="4">
                  <c:v>2020年</c:v>
                </c:pt>
              </c:strCache>
            </c:strRef>
          </c:cat>
          <c:val>
            <c:numRef>
              <c:f>Sheet1!$B$3:$F$3</c:f>
              <c:numCache>
                <c:formatCode>0.00_ </c:formatCode>
                <c:ptCount val="5"/>
                <c:pt idx="0" formatCode="General">
                  <c:v>864.96</c:v>
                </c:pt>
                <c:pt idx="1">
                  <c:v>968.13</c:v>
                </c:pt>
                <c:pt idx="2">
                  <c:v>1082.31</c:v>
                </c:pt>
                <c:pt idx="3">
                  <c:v>1159.3699999999999</c:v>
                </c:pt>
                <c:pt idx="4" formatCode="General">
                  <c:v>1117.7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9907328"/>
        <c:axId val="149908864"/>
      </c:barChar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同比增速</c:v>
                </c:pt>
              </c:strCache>
            </c:strRef>
          </c:tx>
          <c:spPr>
            <a:ln w="20828" cap="rnd" cmpd="sng" algn="ctr">
              <a:solidFill>
                <a:schemeClr val="accent6"/>
              </a:solidFill>
              <a:prstDash val="solid"/>
              <a:round/>
            </a:ln>
          </c:spPr>
          <c:marker>
            <c:symbol val="diamond"/>
            <c:size val="5"/>
            <c:spPr>
              <a:solidFill>
                <a:schemeClr val="bg1"/>
              </a:solidFill>
              <a:ln w="6350" cap="flat" cmpd="sng" algn="ctr">
                <a:solidFill>
                  <a:schemeClr val="accent6"/>
                </a:solidFill>
                <a:prstDash val="solid"/>
                <a:round/>
              </a:ln>
            </c:spPr>
          </c:marker>
          <c:dLbls>
            <c:dLbl>
              <c:idx val="0"/>
              <c:numFmt formatCode="0.0_ " sourceLinked="0"/>
              <c:spPr>
                <a:noFill/>
                <a:ln w="21561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rgbClr val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  <a:endParaRPr lang="zh-CN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numFmt formatCode="0.0_ " sourceLinked="0"/>
              <c:spPr>
                <a:noFill/>
                <a:ln w="21561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rgbClr val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  <a:endParaRPr lang="zh-CN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numFmt formatCode="0.0_ " sourceLinked="0"/>
              <c:spPr>
                <a:noFill/>
                <a:ln w="21561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rgbClr val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  <a:endParaRPr lang="zh-CN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numFmt formatCode="0.0_ " sourceLinked="0"/>
              <c:spPr>
                <a:noFill/>
                <a:ln w="21561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rgbClr val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  <a:endParaRPr lang="zh-CN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numFmt formatCode="0.0_ " sourceLinked="0"/>
              <c:spPr>
                <a:noFill/>
                <a:ln w="21561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rgbClr val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  <a:endParaRPr lang="zh-CN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_ " sourceLinked="0"/>
            <c:spPr>
              <a:noFill/>
              <a:ln w="21561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00" b="0" i="0" u="none" strike="noStrike" kern="1200" baseline="0">
                    <a:solidFill>
                      <a:srgbClr val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  <a:endParaRPr lang="zh-CN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Sheet1!$B$1:$F$1</c:f>
              <c:strCache>
                <c:ptCount val="5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  <c:pt idx="3">
                  <c:v>2019年</c:v>
                </c:pt>
                <c:pt idx="4">
                  <c:v>2020年</c:v>
                </c:pt>
              </c:strCache>
            </c:strRef>
          </c:cat>
          <c:val>
            <c:numRef>
              <c:f>Sheet1!$B$2:$F$2</c:f>
              <c:numCache>
                <c:formatCode>0.0_ </c:formatCode>
                <c:ptCount val="5"/>
                <c:pt idx="0">
                  <c:v>7.9018202329999996</c:v>
                </c:pt>
                <c:pt idx="1">
                  <c:v>6.2489999999999997</c:v>
                </c:pt>
                <c:pt idx="2">
                  <c:v>6.2489999999999997</c:v>
                </c:pt>
                <c:pt idx="3">
                  <c:v>6.59985116</c:v>
                </c:pt>
                <c:pt idx="4" formatCode="General">
                  <c:v>-4.2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9915136"/>
        <c:axId val="149916672"/>
      </c:lineChart>
      <c:catAx>
        <c:axId val="14990732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2695" cap="flat" cmpd="sng" algn="ctr">
            <a:noFill/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endParaRPr lang="zh-CN"/>
          </a:p>
        </c:txPr>
        <c:crossAx val="149908864"/>
        <c:crossesAt val="-50"/>
        <c:auto val="0"/>
        <c:lblAlgn val="ctr"/>
        <c:lblOffset val="100"/>
        <c:tickLblSkip val="1"/>
        <c:noMultiLvlLbl val="0"/>
      </c:catAx>
      <c:valAx>
        <c:axId val="149908864"/>
        <c:scaling>
          <c:orientation val="minMax"/>
          <c:max val="1400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/>
              </a:solidFill>
              <a:prstDash val="solid"/>
              <a:round/>
            </a:ln>
          </c:spPr>
        </c:majorGridlines>
        <c:title>
          <c:tx>
            <c:rich>
              <a:bodyPr rot="0" spcFirstLastPara="0" vertOverflow="ellipsis" vert="horz" wrap="square" anchor="ctr" anchorCtr="1"/>
              <a:lstStyle/>
              <a:p>
                <a:pPr algn="ctr">
                  <a:defRPr lang="zh-CN" sz="800" b="0" i="0" u="none" strike="noStrike" kern="1200" baseline="0">
                    <a:solidFill>
                      <a:srgbClr val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  <a:r>
                  <a:rPr lang="zh-CN" altLang="en-US" sz="800"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rPr>
                  <a:t>亿元</a:t>
                </a:r>
              </a:p>
            </c:rich>
          </c:tx>
          <c:layout>
            <c:manualLayout>
              <c:xMode val="edge"/>
              <c:yMode val="edge"/>
              <c:x val="1.806086209995E-2"/>
              <c:y val="5.1109788845773801E-2"/>
            </c:manualLayout>
          </c:layout>
          <c:overlay val="0"/>
          <c:spPr>
            <a:noFill/>
            <a:ln w="21561">
              <a:noFill/>
            </a:ln>
          </c:spPr>
        </c:title>
        <c:numFmt formatCode="0_ " sourceLinked="0"/>
        <c:majorTickMark val="in"/>
        <c:minorTickMark val="none"/>
        <c:tickLblPos val="nextTo"/>
        <c:spPr>
          <a:ln w="2695" cap="flat" cmpd="sng" algn="ctr">
            <a:noFill/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05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endParaRPr lang="zh-CN"/>
          </a:p>
        </c:txPr>
        <c:crossAx val="149907328"/>
        <c:crosses val="autoZero"/>
        <c:crossBetween val="between"/>
        <c:majorUnit val="200"/>
      </c:valAx>
      <c:catAx>
        <c:axId val="1499151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9916672"/>
        <c:crosses val="autoZero"/>
        <c:auto val="0"/>
        <c:lblAlgn val="ctr"/>
        <c:lblOffset val="100"/>
        <c:noMultiLvlLbl val="0"/>
      </c:catAx>
      <c:valAx>
        <c:axId val="149916672"/>
        <c:scaling>
          <c:orientation val="minMax"/>
          <c:max val="45"/>
          <c:min val="-8"/>
        </c:scaling>
        <c:delete val="0"/>
        <c:axPos val="r"/>
        <c:title>
          <c:tx>
            <c:rich>
              <a:bodyPr rot="0" spcFirstLastPara="0" vertOverflow="ellipsis" vert="horz" wrap="square" anchor="ctr" anchorCtr="1"/>
              <a:lstStyle/>
              <a:p>
                <a:pPr algn="ctr">
                  <a:defRPr lang="zh-CN" sz="900" b="0" i="0" u="none" strike="noStrike" kern="1200" baseline="0">
                    <a:solidFill>
                      <a:srgbClr val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  <a:r>
                  <a:rPr lang="en-US" altLang="zh-CN" sz="900"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rPr>
                  <a:t>%</a:t>
                </a:r>
              </a:p>
            </c:rich>
          </c:tx>
          <c:layout>
            <c:manualLayout>
              <c:xMode val="edge"/>
              <c:yMode val="edge"/>
              <c:x val="0.94496649860613102"/>
              <c:y val="0.100995021059886"/>
            </c:manualLayout>
          </c:layout>
          <c:overlay val="0"/>
          <c:spPr>
            <a:noFill/>
            <a:ln w="21561">
              <a:noFill/>
            </a:ln>
          </c:spPr>
        </c:title>
        <c:numFmt formatCode="0_ " sourceLinked="0"/>
        <c:majorTickMark val="in"/>
        <c:minorTickMark val="none"/>
        <c:tickLblPos val="nextTo"/>
        <c:spPr>
          <a:noFill/>
          <a:ln w="2695" cap="flat" cmpd="sng" algn="ctr">
            <a:noFill/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endParaRPr lang="zh-CN"/>
          </a:p>
        </c:txPr>
        <c:crossAx val="149915136"/>
        <c:crosses val="max"/>
        <c:crossBetween val="between"/>
        <c:majorUnit val="20"/>
      </c:valAx>
      <c:spPr>
        <a:solidFill>
          <a:schemeClr val="bg1">
            <a:lumMod val="95000"/>
          </a:schemeClr>
        </a:solidFill>
        <a:ln w="6350">
          <a:solidFill>
            <a:schemeClr val="tx1">
              <a:lumMod val="50000"/>
              <a:lumOff val="50000"/>
            </a:schemeClr>
          </a:solidFill>
          <a:prstDash val="solid"/>
        </a:ln>
      </c:spPr>
    </c:plotArea>
    <c:legend>
      <c:legendPos val="r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endParaRPr lang="zh-CN"/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endParaRPr lang="zh-CN"/>
          </a:p>
        </c:txPr>
      </c:legendEntry>
      <c:layout>
        <c:manualLayout>
          <c:xMode val="edge"/>
          <c:yMode val="edge"/>
          <c:x val="9.0900104761582903E-2"/>
          <c:y val="0.18260034568849601"/>
          <c:w val="0.18347585513078499"/>
          <c:h val="0.12591407678245001"/>
        </c:manualLayout>
      </c:layout>
      <c:overlay val="0"/>
      <c:spPr>
        <a:noFill/>
        <a:ln w="2695">
          <a:noFill/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zh-CN" sz="800" b="0" i="0" u="none" strike="noStrike" kern="1200" baseline="0">
              <a:solidFill>
                <a:srgbClr val="000000"/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defRPr>
          </a:pPr>
          <a:endParaRPr lang="zh-CN"/>
        </a:p>
      </c:txPr>
    </c:legend>
    <c:plotVisOnly val="1"/>
    <c:dispBlanksAs val="gap"/>
    <c:showDLblsOverMax val="0"/>
  </c:chart>
  <c:spPr>
    <a:noFill/>
    <a:ln w="6350" cap="flat" cmpd="sng" algn="ctr">
      <a:noFill/>
      <a:prstDash val="solid"/>
      <a:round/>
    </a:ln>
  </c:spPr>
  <c:txPr>
    <a:bodyPr/>
    <a:lstStyle/>
    <a:p>
      <a:pPr>
        <a:defRPr lang="zh-CN" sz="1200" b="0" i="0" u="none" strike="noStrike" baseline="0">
          <a:solidFill>
            <a:srgbClr val="000000"/>
          </a:solidFill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  <a:endParaRPr lang="zh-CN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440" b="1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r>
              <a:rPr lang="zh-CN" altLang="en-US" sz="1440" b="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Times New Roman" panose="02020603050405020304" charset="0"/>
              </a:rPr>
              <a:t>图</a:t>
            </a:r>
            <a:r>
              <a:rPr lang="en-US" altLang="zh-CN" sz="1440" b="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Times New Roman" panose="02020603050405020304" charset="0"/>
              </a:rPr>
              <a:t>10</a:t>
            </a:r>
            <a:r>
              <a:rPr lang="en-US" altLang="zh-CN" sz="1440" b="0" i="0" u="none" strike="noStrike" baseline="0">
                <a:effectLst/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  </a:t>
            </a:r>
            <a:r>
              <a:rPr lang="en-US" altLang="zh-CN" sz="1440" b="0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2016-2020</a:t>
            </a:r>
            <a:r>
              <a:rPr lang="zh-CN" altLang="en-US" sz="1440" b="0">
                <a:latin typeface="黑体" panose="02010609060101010101" charset="-122"/>
                <a:ea typeface="黑体" panose="02010609060101010101" charset="-122"/>
                <a:cs typeface="Times New Roman" panose="02020603050405020304" charset="0"/>
                <a:sym typeface="Times New Roman" panose="02020603050405020304" charset="0"/>
              </a:rPr>
              <a:t>年地方一般公共预算收入</a:t>
            </a:r>
          </a:p>
        </c:rich>
      </c:tx>
      <c:layout>
        <c:manualLayout>
          <c:xMode val="edge"/>
          <c:yMode val="edge"/>
          <c:x val="0.15018106913851001"/>
          <c:y val="1.1678743887049399E-2"/>
        </c:manualLayout>
      </c:layout>
      <c:overlay val="0"/>
      <c:spPr>
        <a:noFill/>
        <a:ln w="206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7496775080886399E-2"/>
          <c:y val="0.129991737813275"/>
          <c:w val="0.870842849109279"/>
          <c:h val="0.72161938859818198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Sheet1!$A$3</c:f>
              <c:strCache>
                <c:ptCount val="1"/>
                <c:pt idx="0">
                  <c:v>绝对额</c:v>
                </c:pt>
              </c:strCache>
            </c:strRef>
          </c:tx>
          <c:spPr>
            <a:solidFill>
              <a:schemeClr val="accent2"/>
            </a:solidFill>
            <a:ln w="10300">
              <a:noFill/>
              <a:prstDash val="solid"/>
            </a:ln>
          </c:spPr>
          <c:invertIfNegative val="0"/>
          <c:dLbls>
            <c:dLbl>
              <c:idx val="0"/>
              <c:numFmt formatCode="#,##0.00_);[Red]\(#,##0.00\)" sourceLinked="0"/>
              <c:spPr>
                <a:noFill/>
                <a:ln w="206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rgbClr val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numFmt formatCode="#,##0.00_);[Red]\(#,##0.00\)" sourceLinked="0"/>
              <c:spPr>
                <a:noFill/>
                <a:ln w="206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rgbClr val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numFmt formatCode="#,##0.00_);[Red]\(#,##0.00\)" sourceLinked="0"/>
              <c:spPr>
                <a:noFill/>
                <a:ln w="206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rgbClr val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numFmt formatCode="#,##0.00_);[Red]\(#,##0.00\)" sourceLinked="0"/>
              <c:spPr>
                <a:noFill/>
                <a:ln w="206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rgbClr val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numFmt formatCode="#,##0.00_);[Red]\(#,##0.00\)" sourceLinked="0"/>
              <c:spPr>
                <a:noFill/>
                <a:ln w="206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rgbClr val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_);[Red]\(#,##0.00\)" sourceLinked="0"/>
            <c:spPr>
              <a:noFill/>
              <a:ln w="206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00" b="0" i="0" u="none" strike="noStrike" kern="1200" baseline="0">
                    <a:solidFill>
                      <a:srgbClr val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Sheet1!$B$1:$F$1</c:f>
              <c:strCache>
                <c:ptCount val="5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  <c:pt idx="3">
                  <c:v>2019年</c:v>
                </c:pt>
                <c:pt idx="4">
                  <c:v>2020年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71.91</c:v>
                </c:pt>
                <c:pt idx="1">
                  <c:v>74.930000000000007</c:v>
                </c:pt>
                <c:pt idx="2">
                  <c:v>80.209999999999994</c:v>
                </c:pt>
                <c:pt idx="3">
                  <c:v>80.650000000000006</c:v>
                </c:pt>
                <c:pt idx="4">
                  <c:v>57.65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0856320"/>
        <c:axId val="200857856"/>
      </c:barChart>
      <c:catAx>
        <c:axId val="20085632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2575" cap="flat" cmpd="sng" algn="ctr">
            <a:noFill/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endParaRPr lang="zh-CN"/>
          </a:p>
        </c:txPr>
        <c:crossAx val="200857856"/>
        <c:crosses val="autoZero"/>
        <c:auto val="0"/>
        <c:lblAlgn val="ctr"/>
        <c:lblOffset val="100"/>
        <c:tickLblSkip val="1"/>
        <c:noMultiLvlLbl val="0"/>
      </c:catAx>
      <c:valAx>
        <c:axId val="200857856"/>
        <c:scaling>
          <c:orientation val="minMax"/>
          <c:max val="130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/>
              </a:solidFill>
              <a:prstDash val="solid"/>
              <a:round/>
            </a:ln>
          </c:spPr>
        </c:majorGridlines>
        <c:title>
          <c:tx>
            <c:rich>
              <a:bodyPr rot="0" spcFirstLastPara="0" vertOverflow="ellipsis" vert="horz" wrap="square" anchor="ctr" anchorCtr="1"/>
              <a:lstStyle/>
              <a:p>
                <a:pPr algn="ctr">
                  <a:defRPr lang="zh-CN" sz="800" b="0" i="0" u="none" strike="noStrike" kern="1200" baseline="0">
                    <a:solidFill>
                      <a:srgbClr val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  <a:r>
                  <a:rPr lang="zh-CN" altLang="en-US" sz="800"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rPr>
                  <a:t>亿元</a:t>
                </a:r>
              </a:p>
            </c:rich>
          </c:tx>
          <c:layout>
            <c:manualLayout>
              <c:xMode val="edge"/>
              <c:yMode val="edge"/>
              <c:x val="1.5106929777178099E-4"/>
              <c:y val="6.9358416354780406E-2"/>
            </c:manualLayout>
          </c:layout>
          <c:overlay val="0"/>
          <c:spPr>
            <a:noFill/>
            <a:ln w="20600">
              <a:noFill/>
            </a:ln>
          </c:spPr>
        </c:title>
        <c:numFmt formatCode="0_ " sourceLinked="0"/>
        <c:majorTickMark val="in"/>
        <c:minorTickMark val="none"/>
        <c:tickLblPos val="nextTo"/>
        <c:spPr>
          <a:ln w="2575" cap="flat" cmpd="sng" algn="ctr">
            <a:noFill/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endParaRPr lang="zh-CN"/>
          </a:p>
        </c:txPr>
        <c:crossAx val="200856320"/>
        <c:crosses val="autoZero"/>
        <c:crossBetween val="between"/>
        <c:majorUnit val="40"/>
      </c:valAx>
      <c:spPr>
        <a:solidFill>
          <a:schemeClr val="bg1">
            <a:lumMod val="95000"/>
          </a:schemeClr>
        </a:solidFill>
        <a:ln w="6350">
          <a:solidFill>
            <a:schemeClr val="tx1">
              <a:lumMod val="50000"/>
              <a:lumOff val="50000"/>
            </a:schemeClr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noFill/>
      <a:prstDash val="solid"/>
      <a:round/>
    </a:ln>
  </c:spPr>
  <c:txPr>
    <a:bodyPr/>
    <a:lstStyle/>
    <a:p>
      <a:pPr>
        <a:defRPr lang="zh-CN" sz="810" b="0" i="0" u="none" strike="noStrike" baseline="0">
          <a:solidFill>
            <a:srgbClr val="000000"/>
          </a:solidFill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  <a:endParaRPr lang="zh-CN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algn="ctr">
              <a:defRPr lang="zh-CN" sz="144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r>
              <a:rPr lang="zh-CN" altLang="en-US" sz="1440" b="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Times New Roman" panose="02020603050405020304" charset="0"/>
              </a:rPr>
              <a:t>图</a:t>
            </a:r>
            <a:r>
              <a:rPr lang="en-US" altLang="zh-CN" sz="1440" b="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Times New Roman" panose="02020603050405020304" charset="0"/>
              </a:rPr>
              <a:t>2</a:t>
            </a:r>
            <a:r>
              <a:rPr lang="en-US" altLang="zh-CN" sz="1440" b="0" i="0" u="none" strike="noStrike" baseline="0">
                <a:effectLst/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  </a:t>
            </a:r>
            <a:r>
              <a:rPr lang="en-US" altLang="zh-CN" sz="1440" b="0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2016-2020</a:t>
            </a:r>
            <a:r>
              <a:rPr lang="zh-CN" altLang="en-US" sz="1440" b="0">
                <a:latin typeface="黑体" panose="02010609060101010101" charset="-122"/>
                <a:ea typeface="黑体" panose="02010609060101010101" charset="-122"/>
                <a:cs typeface="Times New Roman" panose="02020603050405020304" charset="0"/>
                <a:sym typeface="Times New Roman" panose="02020603050405020304" charset="0"/>
              </a:rPr>
              <a:t>年三次产业比</a:t>
            </a:r>
            <a:endParaRPr lang="en-US" altLang="zh-CN" sz="1440" b="0">
              <a:latin typeface="黑体" panose="02010609060101010101" charset="-122"/>
              <a:ea typeface="黑体" panose="02010609060101010101" charset="-122"/>
              <a:cs typeface="Times New Roman" panose="02020603050405020304" charset="0"/>
              <a:sym typeface="Times New Roman" panose="02020603050405020304" charset="0"/>
            </a:endParaRPr>
          </a:p>
        </c:rich>
      </c:tx>
      <c:layout>
        <c:manualLayout>
          <c:xMode val="edge"/>
          <c:yMode val="edge"/>
          <c:x val="0.225134285332978"/>
          <c:y val="2.7058856185867501E-2"/>
        </c:manualLayout>
      </c:layout>
      <c:overlay val="0"/>
      <c:spPr>
        <a:noFill/>
        <a:ln w="2156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6705084745762698E-2"/>
          <c:y val="0.16015436565364199"/>
          <c:w val="0.86112542372881395"/>
          <c:h val="0.60810419681620798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第一产业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50" b="0" i="0" u="none" strike="noStrike" kern="1200" baseline="0">
                    <a:solidFill>
                      <a:srgbClr val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  <a:endParaRPr lang="zh-CN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Sheet1!$B$1:$F$1</c:f>
              <c:strCache>
                <c:ptCount val="5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  <c:pt idx="3">
                  <c:v>2019年</c:v>
                </c:pt>
                <c:pt idx="4">
                  <c:v>2020年</c:v>
                </c:pt>
              </c:strCache>
            </c:strRef>
          </c:cat>
          <c:val>
            <c:numRef>
              <c:f>Sheet1!$B$2:$F$2</c:f>
              <c:numCache>
                <c:formatCode>0.0_ </c:formatCode>
                <c:ptCount val="5"/>
                <c:pt idx="0">
                  <c:v>18.600000000000001</c:v>
                </c:pt>
                <c:pt idx="1">
                  <c:v>17.100000000000001</c:v>
                </c:pt>
                <c:pt idx="2">
                  <c:v>15.3</c:v>
                </c:pt>
                <c:pt idx="3">
                  <c:v>15.6</c:v>
                </c:pt>
                <c:pt idx="4">
                  <c:v>18.100000000000001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第二产业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50" b="0" i="0" u="none" strike="noStrike" kern="1200" baseline="0">
                    <a:solidFill>
                      <a:srgbClr val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  <a:endParaRPr lang="zh-CN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Sheet1!$B$1:$F$1</c:f>
              <c:strCache>
                <c:ptCount val="5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  <c:pt idx="3">
                  <c:v>2019年</c:v>
                </c:pt>
                <c:pt idx="4">
                  <c:v>2020年</c:v>
                </c:pt>
              </c:strCache>
            </c:strRef>
          </c:cat>
          <c:val>
            <c:numRef>
              <c:f>Sheet1!$B$3:$F$3</c:f>
              <c:numCache>
                <c:formatCode>0.0_ </c:formatCode>
                <c:ptCount val="5"/>
                <c:pt idx="0">
                  <c:v>29.9</c:v>
                </c:pt>
                <c:pt idx="1">
                  <c:v>28.7</c:v>
                </c:pt>
                <c:pt idx="2">
                  <c:v>26.9</c:v>
                </c:pt>
                <c:pt idx="3">
                  <c:v>25.8</c:v>
                </c:pt>
                <c:pt idx="4">
                  <c:v>22.6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第三产业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50" b="0" i="0" u="none" strike="noStrike" kern="1200" baseline="0">
                    <a:solidFill>
                      <a:srgbClr val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  <a:endParaRPr lang="zh-CN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Sheet1!$B$1:$F$1</c:f>
              <c:strCache>
                <c:ptCount val="5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  <c:pt idx="3">
                  <c:v>2019年</c:v>
                </c:pt>
                <c:pt idx="4">
                  <c:v>2020年</c:v>
                </c:pt>
              </c:strCache>
            </c:strRef>
          </c:cat>
          <c:val>
            <c:numRef>
              <c:f>Sheet1!$B$4:$F$4</c:f>
              <c:numCache>
                <c:formatCode>0.0_ </c:formatCode>
                <c:ptCount val="5"/>
                <c:pt idx="0">
                  <c:v>51.5</c:v>
                </c:pt>
                <c:pt idx="1">
                  <c:v>54.2</c:v>
                </c:pt>
                <c:pt idx="2">
                  <c:v>57.8</c:v>
                </c:pt>
                <c:pt idx="3">
                  <c:v>58.6</c:v>
                </c:pt>
                <c:pt idx="4">
                  <c:v>59.3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6"/>
        <c:overlap val="100"/>
        <c:axId val="149945344"/>
        <c:axId val="151937792"/>
      </c:barChart>
      <c:catAx>
        <c:axId val="14994534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2695" cap="flat" cmpd="sng" algn="ctr">
            <a:noFill/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endParaRPr lang="zh-CN"/>
          </a:p>
        </c:txPr>
        <c:crossAx val="151937792"/>
        <c:crosses val="autoZero"/>
        <c:auto val="0"/>
        <c:lblAlgn val="ctr"/>
        <c:lblOffset val="100"/>
        <c:tickLblSkip val="1"/>
        <c:noMultiLvlLbl val="0"/>
      </c:catAx>
      <c:valAx>
        <c:axId val="151937792"/>
        <c:scaling>
          <c:orientation val="minMax"/>
          <c:max val="1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/>
              </a:solidFill>
              <a:prstDash val="solid"/>
              <a:round/>
            </a:ln>
          </c:spPr>
        </c:majorGridlines>
        <c:numFmt formatCode="0%" sourceLinked="0"/>
        <c:majorTickMark val="in"/>
        <c:minorTickMark val="none"/>
        <c:tickLblPos val="nextTo"/>
        <c:spPr>
          <a:ln w="2695" cap="flat" cmpd="sng" algn="ctr">
            <a:noFill/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05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endParaRPr lang="zh-CN"/>
          </a:p>
        </c:txPr>
        <c:crossAx val="149945344"/>
        <c:crosses val="autoZero"/>
        <c:crossBetween val="between"/>
        <c:majorUnit val="0.2"/>
      </c:valAx>
      <c:spPr>
        <a:solidFill>
          <a:schemeClr val="bg1">
            <a:lumMod val="95000"/>
          </a:schemeClr>
        </a:solidFill>
        <a:ln w="6350" cmpd="sng">
          <a:solidFill>
            <a:schemeClr val="tx1">
              <a:lumMod val="50000"/>
              <a:lumOff val="50000"/>
            </a:schemeClr>
          </a:solidFill>
          <a:prstDash val="solid"/>
        </a:ln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endParaRPr lang="zh-CN"/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endParaRPr lang="zh-CN"/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endParaRPr lang="zh-CN"/>
          </a:p>
        </c:txPr>
      </c:legendEntry>
      <c:layout>
        <c:manualLayout>
          <c:xMode val="edge"/>
          <c:yMode val="edge"/>
          <c:x val="0.31040537362072601"/>
          <c:y val="0.89695599086513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rgbClr val="000000"/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defRPr>
          </a:pPr>
          <a:endParaRPr lang="zh-CN"/>
        </a:p>
      </c:txPr>
    </c:legend>
    <c:plotVisOnly val="1"/>
    <c:dispBlanksAs val="gap"/>
    <c:showDLblsOverMax val="0"/>
  </c:chart>
  <c:spPr>
    <a:noFill/>
    <a:ln w="6350" cap="flat" cmpd="sng" algn="ctr">
      <a:noFill/>
      <a:prstDash val="solid"/>
      <a:round/>
    </a:ln>
  </c:spPr>
  <c:txPr>
    <a:bodyPr/>
    <a:lstStyle/>
    <a:p>
      <a:pPr>
        <a:defRPr lang="zh-CN" sz="1200" b="0" i="0" u="none" strike="noStrike" baseline="0">
          <a:solidFill>
            <a:srgbClr val="000000"/>
          </a:solidFill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  <a:endParaRPr lang="zh-CN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r>
              <a:rPr lang="zh-CN" altLang="en-US" sz="1400" b="0">
                <a:solidFill>
                  <a:sysClr val="windowText" lastClr="000000"/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Times New Roman" panose="02020603050405020304" charset="0"/>
              </a:rPr>
              <a:t>图</a:t>
            </a:r>
            <a:r>
              <a:rPr lang="en-US" altLang="zh-CN" sz="1400" b="0">
                <a:solidFill>
                  <a:sysClr val="windowText" lastClr="000000"/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Times New Roman" panose="02020603050405020304" charset="0"/>
              </a:rPr>
              <a:t>3</a:t>
            </a:r>
            <a:r>
              <a:rPr lang="en-US" altLang="zh-CN" sz="1400" b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   </a:t>
            </a:r>
            <a:r>
              <a:rPr lang="en-US" altLang="zh-CN" sz="1400" b="0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2020</a:t>
            </a:r>
            <a:r>
              <a:rPr lang="zh-CN" altLang="en-US" sz="1400" b="0" i="0" u="none" strike="noStrike" baseline="0">
                <a:solidFill>
                  <a:sysClr val="windowText" lastClr="000000"/>
                </a:solidFill>
                <a:effectLst/>
                <a:latin typeface="黑体" panose="02010609060101010101" charset="-122"/>
                <a:ea typeface="黑体" panose="02010609060101010101" charset="-122"/>
                <a:cs typeface="Times New Roman" panose="02020603050405020304" charset="0"/>
                <a:sym typeface="Times New Roman" panose="02020603050405020304" charset="0"/>
              </a:rPr>
              <a:t>年居民消费价格月度涨跌幅度</a:t>
            </a:r>
          </a:p>
        </c:rich>
      </c:tx>
      <c:layout>
        <c:manualLayout>
          <c:xMode val="edge"/>
          <c:yMode val="edge"/>
          <c:x val="0.162035214348206"/>
          <c:y val="1.4129812720778301E-3"/>
        </c:manualLayout>
      </c:layout>
      <c:overlay val="0"/>
      <c:spPr>
        <a:noFill/>
        <a:ln w="2084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0411324786324798E-2"/>
          <c:y val="0.15622389306599799"/>
          <c:w val="0.86578525641025605"/>
          <c:h val="0.6700083542188800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同比涨幅</c:v>
                </c:pt>
              </c:strCache>
            </c:strRef>
          </c:tx>
          <c:spPr>
            <a:ln w="20841" cap="rnd" cmpd="sng" algn="ctr">
              <a:solidFill>
                <a:schemeClr val="accent6"/>
              </a:solidFill>
              <a:prstDash val="solid"/>
              <a:round/>
            </a:ln>
          </c:spPr>
          <c:marker>
            <c:symbol val="circle"/>
            <c:size val="5"/>
            <c:spPr>
              <a:solidFill>
                <a:schemeClr val="bg1"/>
              </a:solidFill>
              <a:ln w="6350" cap="flat" cmpd="sng" algn="ctr">
                <a:solidFill>
                  <a:schemeClr val="accent6"/>
                </a:solidFill>
                <a:prstDash val="solid"/>
                <a:round/>
              </a:ln>
            </c:spPr>
          </c:marker>
          <c:dLbls>
            <c:dLbl>
              <c:idx val="0"/>
              <c:numFmt formatCode="#,##0.0_ " sourceLinked="0"/>
              <c:spPr>
                <a:noFill/>
                <a:ln w="20841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  <a:endParaRPr lang="zh-CN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numFmt formatCode="#,##0.0_ " sourceLinked="0"/>
              <c:spPr>
                <a:noFill/>
                <a:ln w="20841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  <a:endParaRPr lang="zh-CN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numFmt formatCode="#,##0.0_ " sourceLinked="0"/>
              <c:spPr>
                <a:noFill/>
                <a:ln w="20841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  <a:endParaRPr lang="zh-CN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numFmt formatCode="#,##0.0_ " sourceLinked="0"/>
              <c:spPr>
                <a:noFill/>
                <a:ln w="20841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  <a:endParaRPr lang="zh-CN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numFmt formatCode="#,##0.0_ " sourceLinked="0"/>
              <c:spPr>
                <a:noFill/>
                <a:ln w="20841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  <a:endParaRPr lang="zh-CN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8305224672720802E-3"/>
                  <c:y val="0.10495694670700501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2.8305224672720802E-3"/>
                  <c:y val="0.115429369327438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_ " sourceLinked="0"/>
            <c:spPr>
              <a:noFill/>
              <a:ln w="20841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  <a:endParaRPr lang="zh-CN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Sheet1!$B$1:$M$1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5.3</c:v>
                </c:pt>
                <c:pt idx="1">
                  <c:v>5.0999999999999996</c:v>
                </c:pt>
                <c:pt idx="2">
                  <c:v>4.4000000000000004</c:v>
                </c:pt>
                <c:pt idx="3">
                  <c:v>2.8</c:v>
                </c:pt>
                <c:pt idx="4">
                  <c:v>1.9</c:v>
                </c:pt>
                <c:pt idx="5">
                  <c:v>2.1</c:v>
                </c:pt>
                <c:pt idx="6">
                  <c:v>2.9</c:v>
                </c:pt>
                <c:pt idx="7">
                  <c:v>2.9</c:v>
                </c:pt>
                <c:pt idx="8">
                  <c:v>1.8</c:v>
                </c:pt>
                <c:pt idx="9">
                  <c:v>-0.3</c:v>
                </c:pt>
                <c:pt idx="10">
                  <c:v>-1.3</c:v>
                </c:pt>
                <c:pt idx="11">
                  <c:v>-0.6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环比涨幅</c:v>
                </c:pt>
              </c:strCache>
            </c:strRef>
          </c:tx>
          <c:spPr>
            <a:ln w="20828" cap="rnd" cmpd="sng" algn="ctr">
              <a:solidFill>
                <a:schemeClr val="accent2"/>
              </a:solidFill>
              <a:prstDash val="solid"/>
              <a:round/>
            </a:ln>
          </c:spPr>
          <c:marker>
            <c:spPr>
              <a:solidFill>
                <a:schemeClr val="bg1"/>
              </a:solidFill>
              <a:ln w="6350" cap="flat" cmpd="sng" algn="ctr">
                <a:solidFill>
                  <a:schemeClr val="accent2"/>
                </a:solidFill>
                <a:prstDash val="solid"/>
                <a:round/>
              </a:ln>
            </c:spPr>
          </c:marker>
          <c:dLbls>
            <c:dLbl>
              <c:idx val="1"/>
              <c:layout>
                <c:manualLayout>
                  <c:x val="-9.1991980186342699E-3"/>
                  <c:y val="1.14638447971781E-2"/>
                </c:manualLayout>
              </c:layout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5431064984078297E-3"/>
                  <c:y val="-1.8850360716779101E-2"/>
                </c:manualLayout>
              </c:layout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7125840311357499E-3"/>
                  <c:y val="-4.3053292995112902E-2"/>
                </c:manualLayout>
              </c:layout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9.5530133270432804E-3"/>
                  <c:y val="-2.14102862462183E-2"/>
                </c:manualLayout>
              </c:layout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"/>
                  <c:y val="-0.107284151733768"/>
                </c:manualLayout>
              </c:layout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1.4152612336360401E-3"/>
                  <c:y val="-0.110076797765883"/>
                </c:manualLayout>
              </c:layout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_ " sourceLinked="0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  <a:endParaRPr lang="zh-CN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Sheet1!$B$1:$M$1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0.7</c:v>
                </c:pt>
                <c:pt idx="1">
                  <c:v>0.6</c:v>
                </c:pt>
                <c:pt idx="2">
                  <c:v>-0.8</c:v>
                </c:pt>
                <c:pt idx="3">
                  <c:v>-1.3</c:v>
                </c:pt>
                <c:pt idx="4">
                  <c:v>-0.7</c:v>
                </c:pt>
                <c:pt idx="5">
                  <c:v>0.2</c:v>
                </c:pt>
                <c:pt idx="6">
                  <c:v>1</c:v>
                </c:pt>
                <c:pt idx="7">
                  <c:v>0.3</c:v>
                </c:pt>
                <c:pt idx="8">
                  <c:v>0.3</c:v>
                </c:pt>
                <c:pt idx="9">
                  <c:v>-0.6</c:v>
                </c:pt>
                <c:pt idx="10">
                  <c:v>-0.9</c:v>
                </c:pt>
                <c:pt idx="11">
                  <c:v>0.6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81712128"/>
        <c:axId val="281713664"/>
      </c:lineChart>
      <c:catAx>
        <c:axId val="281712128"/>
        <c:scaling>
          <c:orientation val="minMax"/>
        </c:scaling>
        <c:delete val="0"/>
        <c:axPos val="b"/>
        <c:numFmt formatCode="_ &quot;￥&quot;* #,##0.00_ ;_ &quot;￥&quot;* \-#,##0.00_ ;_ &quot;￥&quot;* &quot;-&quot;??_ ;_ @_ " sourceLinked="0"/>
        <c:majorTickMark val="in"/>
        <c:minorTickMark val="none"/>
        <c:tickLblPos val="low"/>
        <c:spPr>
          <a:ln w="2605" cap="flat" cmpd="sng" algn="ctr">
            <a:noFill/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endParaRPr lang="zh-CN"/>
          </a:p>
        </c:txPr>
        <c:crossAx val="281713664"/>
        <c:crossesAt val="-2"/>
        <c:auto val="1"/>
        <c:lblAlgn val="ctr"/>
        <c:lblOffset val="100"/>
        <c:tickLblSkip val="1"/>
        <c:noMultiLvlLbl val="0"/>
      </c:catAx>
      <c:valAx>
        <c:axId val="281713664"/>
        <c:scaling>
          <c:orientation val="minMax"/>
          <c:max val="8"/>
          <c:min val="-3"/>
        </c:scaling>
        <c:delete val="0"/>
        <c:axPos val="l"/>
        <c:majorGridlines>
          <c:spPr>
            <a:ln w="6350" cap="flat" cmpd="sng" algn="ctr">
              <a:solidFill>
                <a:schemeClr val="bg1"/>
              </a:solidFill>
              <a:prstDash val="solid"/>
              <a:round/>
            </a:ln>
          </c:spPr>
        </c:majorGridlines>
        <c:title>
          <c:tx>
            <c:rich>
              <a:bodyPr rot="0" spcFirstLastPara="0" vertOverflow="ellipsis" vert="horz" wrap="square" anchor="ctr" anchorCtr="1"/>
              <a:lstStyle/>
              <a:p>
                <a:pPr algn="ctr">
                  <a:defRPr lang="zh-CN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  <a:r>
                  <a:rPr lang="en-US" altLang="zh-CN" sz="1000">
                    <a:solidFill>
                      <a:sysClr val="windowText" lastClr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rPr>
                  <a:t>%</a:t>
                </a:r>
              </a:p>
            </c:rich>
          </c:tx>
          <c:layout>
            <c:manualLayout>
              <c:xMode val="edge"/>
              <c:yMode val="edge"/>
              <c:x val="3.4026906234426099E-2"/>
              <c:y val="8.0407397480568195E-3"/>
            </c:manualLayout>
          </c:layout>
          <c:overlay val="0"/>
          <c:spPr>
            <a:noFill/>
            <a:ln w="20841">
              <a:noFill/>
            </a:ln>
          </c:spPr>
        </c:title>
        <c:numFmt formatCode="0.0_ " sourceLinked="0"/>
        <c:majorTickMark val="in"/>
        <c:minorTickMark val="none"/>
        <c:tickLblPos val="nextTo"/>
        <c:spPr>
          <a:noFill/>
          <a:ln w="2605" cap="flat" cmpd="sng" algn="ctr">
            <a:noFill/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endParaRPr lang="zh-CN"/>
          </a:p>
        </c:txPr>
        <c:crossAx val="281712128"/>
        <c:crosses val="autoZero"/>
        <c:crossBetween val="between"/>
        <c:majorUnit val="2"/>
      </c:valAx>
      <c:spPr>
        <a:solidFill>
          <a:schemeClr val="bg1">
            <a:lumMod val="95000"/>
          </a:schemeClr>
        </a:solidFill>
        <a:ln w="6350" cmpd="sng">
          <a:solidFill>
            <a:schemeClr val="tx1">
              <a:lumMod val="50000"/>
              <a:lumOff val="50000"/>
            </a:schemeClr>
          </a:solidFill>
          <a:prstDash val="solid"/>
        </a:ln>
      </c:spPr>
    </c:plotArea>
    <c:legend>
      <c:legendPos val="t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endParaRPr lang="zh-CN"/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endParaRPr lang="zh-CN"/>
          </a:p>
        </c:txPr>
      </c:legendEntry>
      <c:layout>
        <c:manualLayout>
          <c:xMode val="edge"/>
          <c:yMode val="edge"/>
          <c:x val="0.73946085460280997"/>
          <c:y val="0.15121136173767799"/>
          <c:w val="0.20891884141095499"/>
          <c:h val="0.17571707045391299"/>
        </c:manualLayout>
      </c:layout>
      <c:overlay val="0"/>
      <c:spPr>
        <a:ln w="2540" cmpd="sng">
          <a:noFill/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zh-CN" sz="800" b="0" i="0" u="none" strike="noStrike" kern="1200" baseline="0">
              <a:solidFill>
                <a:sysClr val="windowText" lastClr="000000"/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defRPr>
          </a:pPr>
          <a:endParaRPr lang="zh-CN"/>
        </a:p>
      </c:txPr>
    </c:legend>
    <c:plotVisOnly val="1"/>
    <c:dispBlanksAs val="zero"/>
    <c:showDLblsOverMax val="0"/>
  </c:chart>
  <c:spPr>
    <a:noFill/>
    <a:ln w="6350" cap="flat" cmpd="sng" algn="ctr">
      <a:noFill/>
      <a:prstDash val="solid"/>
      <a:round/>
    </a:ln>
  </c:spPr>
  <c:txPr>
    <a:bodyPr/>
    <a:lstStyle/>
    <a:p>
      <a:pPr>
        <a:defRPr lang="zh-CN" sz="1000" b="0" i="0" u="none" strike="noStrike" baseline="0">
          <a:solidFill>
            <a:sysClr val="windowText" lastClr="000000"/>
          </a:solidFill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  <a:endParaRPr lang="zh-CN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40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r>
              <a:rPr lang="zh-CN" sz="14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Times New Roman" panose="02020603050405020304" charset="0"/>
              </a:rPr>
              <a:t>图</a:t>
            </a:r>
            <a:r>
              <a:rPr lang="en-US" sz="14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Times New Roman" panose="02020603050405020304" charset="0"/>
              </a:rPr>
              <a:t>4 </a:t>
            </a:r>
            <a:r>
              <a:rPr lang="en-US" sz="1400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 2016-2020</a:t>
            </a:r>
            <a:r>
              <a:rPr lang="zh-CN" sz="1400">
                <a:latin typeface="黑体" panose="02010609060101010101" charset="-122"/>
                <a:ea typeface="黑体" panose="02010609060101010101" charset="-122"/>
                <a:cs typeface="Times New Roman" panose="02020603050405020304" charset="0"/>
                <a:sym typeface="Times New Roman" panose="02020603050405020304" charset="0"/>
              </a:rPr>
              <a:t>年粮食产量</a:t>
            </a:r>
          </a:p>
        </c:rich>
      </c:tx>
      <c:layout>
        <c:manualLayout>
          <c:xMode val="edge"/>
          <c:yMode val="edge"/>
          <c:x val="0.27233581467845502"/>
          <c:y val="4.6656543129166101E-3"/>
        </c:manualLayout>
      </c:layout>
      <c:overlay val="0"/>
      <c:spPr>
        <a:noFill/>
        <a:ln w="2156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839590443685999"/>
          <c:y val="0.16926442439157799"/>
          <c:w val="0.84791808873720098"/>
          <c:h val="0.66529942575881895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绝对额</c:v>
                </c:pt>
              </c:strCache>
            </c:strRef>
          </c:tx>
          <c:spPr>
            <a:solidFill>
              <a:schemeClr val="accent2"/>
            </a:solidFill>
            <a:ln w="10780">
              <a:noFill/>
              <a:prstDash val="solid"/>
            </a:ln>
          </c:spPr>
          <c:invertIfNegative val="0"/>
          <c:dLbls>
            <c:numFmt formatCode="#,##0.00_);[Red]\(#,##0.00\)" sourceLinked="0"/>
            <c:spPr>
              <a:noFill/>
              <a:ln w="21561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rgbClr val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Sheet1!$B$1:$F$1</c:f>
              <c:strCache>
                <c:ptCount val="5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  <c:pt idx="3">
                  <c:v>2019年</c:v>
                </c:pt>
                <c:pt idx="4">
                  <c:v>2020年</c:v>
                </c:pt>
              </c:strCache>
            </c:strRef>
          </c:cat>
          <c:val>
            <c:numRef>
              <c:f>Sheet1!$B$2:$F$2</c:f>
              <c:numCache>
                <c:formatCode>0.00_ </c:formatCode>
                <c:ptCount val="5"/>
                <c:pt idx="0">
                  <c:v>146.69</c:v>
                </c:pt>
                <c:pt idx="1">
                  <c:v>149.72999999999999</c:v>
                </c:pt>
                <c:pt idx="2">
                  <c:v>146.69</c:v>
                </c:pt>
                <c:pt idx="3" formatCode="General">
                  <c:v>146.32</c:v>
                </c:pt>
                <c:pt idx="4" formatCode="General">
                  <c:v>144.12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83561344"/>
        <c:axId val="298473728"/>
      </c:barChart>
      <c:catAx>
        <c:axId val="28356134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2695" cap="flat" cmpd="sng" algn="ctr">
            <a:noFill/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endParaRPr lang="zh-CN"/>
          </a:p>
        </c:txPr>
        <c:crossAx val="298473728"/>
        <c:crossesAt val="-50"/>
        <c:auto val="0"/>
        <c:lblAlgn val="ctr"/>
        <c:lblOffset val="100"/>
        <c:tickLblSkip val="1"/>
        <c:noMultiLvlLbl val="0"/>
      </c:catAx>
      <c:valAx>
        <c:axId val="298473728"/>
        <c:scaling>
          <c:orientation val="minMax"/>
          <c:max val="200"/>
        </c:scaling>
        <c:delete val="0"/>
        <c:axPos val="l"/>
        <c:majorGridlines>
          <c:spPr>
            <a:ln w="6350" cap="flat" cmpd="sng" algn="ctr">
              <a:solidFill>
                <a:schemeClr val="bg1"/>
              </a:solidFill>
              <a:prstDash val="solid"/>
              <a:round/>
            </a:ln>
          </c:spPr>
        </c:majorGridlines>
        <c:title>
          <c:tx>
            <c:rich>
              <a:bodyPr rot="0" spcFirstLastPara="0" vertOverflow="ellipsis" vert="horz" wrap="square" anchor="ctr" anchorCtr="1"/>
              <a:lstStyle/>
              <a:p>
                <a:pPr algn="ctr">
                  <a:defRPr lang="zh-CN" sz="800" b="0" i="0" u="none" strike="noStrike" kern="1200" baseline="0">
                    <a:solidFill>
                      <a:srgbClr val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  <a:r>
                  <a:rPr lang="zh-CN" sz="800"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rPr>
                  <a:t>万吨</a:t>
                </a:r>
              </a:p>
            </c:rich>
          </c:tx>
          <c:layout>
            <c:manualLayout>
              <c:xMode val="edge"/>
              <c:yMode val="edge"/>
              <c:x val="7.2386659888818997E-2"/>
              <c:y val="6.5560727661055904E-2"/>
            </c:manualLayout>
          </c:layout>
          <c:overlay val="0"/>
          <c:spPr>
            <a:noFill/>
            <a:ln w="21561">
              <a:noFill/>
            </a:ln>
          </c:spPr>
        </c:title>
        <c:numFmt formatCode="0_ " sourceLinked="0"/>
        <c:majorTickMark val="in"/>
        <c:minorTickMark val="none"/>
        <c:tickLblPos val="nextTo"/>
        <c:spPr>
          <a:ln w="2695" cap="flat" cmpd="sng" algn="ctr">
            <a:noFill/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endParaRPr lang="zh-CN"/>
          </a:p>
        </c:txPr>
        <c:crossAx val="283561344"/>
        <c:crosses val="autoZero"/>
        <c:crossBetween val="between"/>
        <c:majorUnit val="50"/>
      </c:valAx>
      <c:spPr>
        <a:solidFill>
          <a:schemeClr val="bg1">
            <a:lumMod val="95000"/>
          </a:schemeClr>
        </a:solidFill>
        <a:ln w="10780">
          <a:solidFill>
            <a:schemeClr val="tx1">
              <a:lumMod val="50000"/>
              <a:lumOff val="50000"/>
            </a:schemeClr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noFill/>
      <a:prstDash val="solid"/>
      <a:round/>
    </a:ln>
  </c:spPr>
  <c:txPr>
    <a:bodyPr/>
    <a:lstStyle/>
    <a:p>
      <a:pPr>
        <a:defRPr lang="zh-CN" sz="1000" b="0" i="0" u="none" strike="noStrike" baseline="0">
          <a:solidFill>
            <a:srgbClr val="000000"/>
          </a:solidFill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  <a:endParaRPr lang="zh-CN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40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r>
              <a:rPr lang="zh-CN" sz="14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Times New Roman" panose="02020603050405020304" charset="0"/>
              </a:rPr>
              <a:t>图</a:t>
            </a:r>
            <a:r>
              <a:rPr lang="en-US" sz="14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Times New Roman" panose="02020603050405020304" charset="0"/>
              </a:rPr>
              <a:t>5</a:t>
            </a:r>
            <a:r>
              <a:rPr lang="en-US" sz="1400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  2016-2020</a:t>
            </a:r>
            <a:r>
              <a:rPr lang="zh-CN" sz="1400">
                <a:latin typeface="黑体" panose="02010609060101010101" charset="-122"/>
                <a:ea typeface="黑体" panose="02010609060101010101" charset="-122"/>
                <a:cs typeface="Times New Roman" panose="02020603050405020304" charset="0"/>
                <a:sym typeface="Times New Roman" panose="02020603050405020304" charset="0"/>
              </a:rPr>
              <a:t>年全部工业增加值及增速</a:t>
            </a:r>
          </a:p>
        </c:rich>
      </c:tx>
      <c:layout>
        <c:manualLayout>
          <c:xMode val="edge"/>
          <c:yMode val="edge"/>
          <c:x val="0.183303541091135"/>
          <c:y val="4.2713656855885096E-3"/>
        </c:manualLayout>
      </c:layout>
      <c:overlay val="0"/>
      <c:spPr>
        <a:noFill/>
        <a:ln w="2156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8365049584561798E-2"/>
          <c:y val="0.14485714285714299"/>
          <c:w val="0.84132940230501196"/>
          <c:h val="0.68742857142857094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Sheet1!$A$3</c:f>
              <c:strCache>
                <c:ptCount val="1"/>
                <c:pt idx="0">
                  <c:v>绝对额</c:v>
                </c:pt>
              </c:strCache>
            </c:strRef>
          </c:tx>
          <c:spPr>
            <a:solidFill>
              <a:schemeClr val="accent2"/>
            </a:solidFill>
            <a:ln w="10780">
              <a:noFill/>
              <a:prstDash val="solid"/>
            </a:ln>
          </c:spPr>
          <c:invertIfNegative val="0"/>
          <c:dLbls>
            <c:numFmt formatCode="#,##0.00_);[Red]\(#,##0.00\)" sourceLinked="0"/>
            <c:spPr>
              <a:noFill/>
              <a:ln w="21561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rgbClr val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Sheet1!$B$1:$F$1</c:f>
              <c:strCache>
                <c:ptCount val="5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  <c:pt idx="3">
                  <c:v>2019年</c:v>
                </c:pt>
                <c:pt idx="4">
                  <c:v>2020年</c:v>
                </c:pt>
              </c:strCache>
            </c:strRef>
          </c:cat>
          <c:val>
            <c:numRef>
              <c:f>Sheet1!$B$3:$F$3</c:f>
              <c:numCache>
                <c:formatCode>0.00_ </c:formatCode>
                <c:ptCount val="5"/>
                <c:pt idx="0">
                  <c:v>204.90084791083601</c:v>
                </c:pt>
                <c:pt idx="1">
                  <c:v>223.971596141378</c:v>
                </c:pt>
                <c:pt idx="2">
                  <c:v>228.050314012705</c:v>
                </c:pt>
                <c:pt idx="3">
                  <c:v>234.278307913937</c:v>
                </c:pt>
                <c:pt idx="4">
                  <c:v>202.057539290813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08703232"/>
        <c:axId val="308705920"/>
      </c:barChar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同比增速</c:v>
                </c:pt>
              </c:strCache>
            </c:strRef>
          </c:tx>
          <c:spPr>
            <a:ln w="20828" cap="rnd" cmpd="sng" algn="ctr">
              <a:solidFill>
                <a:schemeClr val="accent6"/>
              </a:solidFill>
              <a:prstDash val="solid"/>
              <a:round/>
            </a:ln>
          </c:spPr>
          <c:marker>
            <c:symbol val="diamond"/>
            <c:size val="5"/>
            <c:spPr>
              <a:solidFill>
                <a:schemeClr val="bg1"/>
              </a:solidFill>
              <a:ln w="6350" cap="flat" cmpd="sng" algn="ctr">
                <a:solidFill>
                  <a:schemeClr val="accent6"/>
                </a:solidFill>
                <a:prstDash val="solid"/>
                <a:round/>
              </a:ln>
            </c:spPr>
          </c:marker>
          <c:dLbls>
            <c:numFmt formatCode="0.0_ " sourceLinked="0"/>
            <c:spPr>
              <a:noFill/>
              <a:ln w="21561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rgbClr val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  <a:endParaRPr lang="zh-CN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Sheet1!$B$1:$F$1</c:f>
              <c:strCache>
                <c:ptCount val="5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  <c:pt idx="3">
                  <c:v>2019年</c:v>
                </c:pt>
                <c:pt idx="4">
                  <c:v>2020年</c:v>
                </c:pt>
              </c:strCache>
            </c:strRef>
          </c:cat>
          <c:val>
            <c:numRef>
              <c:f>Sheet1!$B$2:$F$2</c:f>
              <c:numCache>
                <c:formatCode>0.0_ </c:formatCode>
                <c:ptCount val="5"/>
                <c:pt idx="0">
                  <c:v>8.2022312460660096</c:v>
                </c:pt>
                <c:pt idx="1">
                  <c:v>4.4449999999999896</c:v>
                </c:pt>
                <c:pt idx="2">
                  <c:v>2.9449999999999901</c:v>
                </c:pt>
                <c:pt idx="3">
                  <c:v>6.4106997909960102</c:v>
                </c:pt>
                <c:pt idx="4">
                  <c:v>-4.3455591681558596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08724480"/>
        <c:axId val="308726016"/>
      </c:lineChart>
      <c:catAx>
        <c:axId val="30870323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2695" cap="flat" cmpd="sng" algn="ctr">
            <a:noFill/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endParaRPr lang="zh-CN"/>
          </a:p>
        </c:txPr>
        <c:crossAx val="308705920"/>
        <c:crossesAt val="-50"/>
        <c:auto val="0"/>
        <c:lblAlgn val="ctr"/>
        <c:lblOffset val="100"/>
        <c:tickLblSkip val="1"/>
        <c:noMultiLvlLbl val="0"/>
      </c:catAx>
      <c:valAx>
        <c:axId val="308705920"/>
        <c:scaling>
          <c:orientation val="minMax"/>
          <c:max val="350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/>
              </a:solidFill>
              <a:prstDash val="solid"/>
              <a:round/>
            </a:ln>
          </c:spPr>
        </c:majorGridlines>
        <c:title>
          <c:tx>
            <c:rich>
              <a:bodyPr rot="0" spcFirstLastPara="0" vertOverflow="ellipsis" vert="horz" wrap="square" anchor="ctr" anchorCtr="1"/>
              <a:lstStyle/>
              <a:p>
                <a:pPr algn="ctr">
                  <a:defRPr lang="zh-CN" sz="800" b="0" i="0" u="none" strike="noStrike" kern="1200" baseline="0">
                    <a:solidFill>
                      <a:srgbClr val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  <a:r>
                  <a:rPr lang="zh-CN" sz="800"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rPr>
                  <a:t>亿元</a:t>
                </a:r>
              </a:p>
            </c:rich>
          </c:tx>
          <c:layout>
            <c:manualLayout>
              <c:xMode val="edge"/>
              <c:yMode val="edge"/>
              <c:x val="3.45525993115776E-2"/>
              <c:y val="2.65838817391921E-2"/>
            </c:manualLayout>
          </c:layout>
          <c:overlay val="0"/>
          <c:spPr>
            <a:noFill/>
            <a:ln w="21561">
              <a:noFill/>
            </a:ln>
          </c:spPr>
        </c:title>
        <c:numFmt formatCode="0_ " sourceLinked="0"/>
        <c:majorTickMark val="in"/>
        <c:minorTickMark val="none"/>
        <c:tickLblPos val="nextTo"/>
        <c:spPr>
          <a:ln w="2695" cap="flat" cmpd="sng" algn="ctr">
            <a:noFill/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endParaRPr lang="zh-CN"/>
          </a:p>
        </c:txPr>
        <c:crossAx val="308703232"/>
        <c:crosses val="autoZero"/>
        <c:crossBetween val="between"/>
        <c:majorUnit val="100"/>
      </c:valAx>
      <c:catAx>
        <c:axId val="3087244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08726016"/>
        <c:crossesAt val="-5"/>
        <c:auto val="0"/>
        <c:lblAlgn val="ctr"/>
        <c:lblOffset val="100"/>
        <c:noMultiLvlLbl val="0"/>
      </c:catAx>
      <c:valAx>
        <c:axId val="308726016"/>
        <c:scaling>
          <c:orientation val="minMax"/>
          <c:max val="30"/>
          <c:min val="-5"/>
        </c:scaling>
        <c:delete val="0"/>
        <c:axPos val="r"/>
        <c:title>
          <c:tx>
            <c:rich>
              <a:bodyPr rot="0" spcFirstLastPara="0" vertOverflow="ellipsis" vert="horz" wrap="square" anchor="ctr" anchorCtr="1"/>
              <a:lstStyle/>
              <a:p>
                <a:pPr algn="ctr">
                  <a:defRPr lang="zh-CN" sz="1000" b="0" i="0" u="none" strike="noStrike" kern="1200" baseline="0">
                    <a:solidFill>
                      <a:srgbClr val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  <a:r>
                  <a:rPr lang="en-US" sz="1000"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rPr>
                  <a:t>%</a:t>
                </a:r>
              </a:p>
            </c:rich>
          </c:tx>
          <c:layout>
            <c:manualLayout>
              <c:xMode val="edge"/>
              <c:yMode val="edge"/>
              <c:x val="0.94670350008899395"/>
              <c:y val="2.9037765716803901E-2"/>
            </c:manualLayout>
          </c:layout>
          <c:overlay val="0"/>
          <c:spPr>
            <a:noFill/>
            <a:ln w="21561">
              <a:noFill/>
            </a:ln>
          </c:spPr>
        </c:title>
        <c:numFmt formatCode="0_ " sourceLinked="0"/>
        <c:majorTickMark val="in"/>
        <c:minorTickMark val="none"/>
        <c:tickLblPos val="nextTo"/>
        <c:spPr>
          <a:noFill/>
          <a:ln w="2695" cap="flat" cmpd="sng" algn="ctr">
            <a:noFill/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endParaRPr lang="zh-CN"/>
          </a:p>
        </c:txPr>
        <c:crossAx val="308724480"/>
        <c:crosses val="max"/>
        <c:crossBetween val="between"/>
        <c:majorUnit val="5"/>
      </c:valAx>
      <c:spPr>
        <a:solidFill>
          <a:schemeClr val="bg1">
            <a:lumMod val="95000"/>
          </a:schemeClr>
        </a:solidFill>
        <a:ln w="10780">
          <a:solidFill>
            <a:schemeClr val="tx1">
              <a:lumMod val="50000"/>
              <a:lumOff val="50000"/>
            </a:schemeClr>
          </a:solidFill>
          <a:prstDash val="solid"/>
        </a:ln>
      </c:spPr>
    </c:plotArea>
    <c:legend>
      <c:legendPos val="r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endParaRPr lang="zh-CN"/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endParaRPr lang="zh-CN"/>
          </a:p>
        </c:txPr>
      </c:legendEntry>
      <c:layout>
        <c:manualLayout>
          <c:xMode val="edge"/>
          <c:yMode val="edge"/>
          <c:x val="0.74196816208393601"/>
          <c:y val="0.15298087739032601"/>
          <c:w val="0.18350217076700401"/>
          <c:h val="0.10292463442069701"/>
        </c:manualLayout>
      </c:layout>
      <c:overlay val="0"/>
      <c:spPr>
        <a:noFill/>
        <a:ln w="2695">
          <a:noFill/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zh-CN" sz="800" b="0" i="0" u="none" strike="noStrike" kern="1200" baseline="0">
              <a:solidFill>
                <a:srgbClr val="000000"/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defRPr>
          </a:pPr>
          <a:endParaRPr lang="zh-CN"/>
        </a:p>
      </c:txPr>
    </c:legend>
    <c:plotVisOnly val="1"/>
    <c:dispBlanksAs val="gap"/>
    <c:showDLblsOverMax val="0"/>
  </c:chart>
  <c:spPr>
    <a:noFill/>
    <a:ln w="6350" cap="flat" cmpd="sng" algn="ctr">
      <a:noFill/>
      <a:prstDash val="solid"/>
      <a:round/>
    </a:ln>
  </c:spPr>
  <c:txPr>
    <a:bodyPr/>
    <a:lstStyle/>
    <a:p>
      <a:pPr>
        <a:defRPr lang="zh-CN" sz="1000" b="0" i="0" u="none" strike="noStrike" baseline="0">
          <a:solidFill>
            <a:srgbClr val="000000"/>
          </a:solidFill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  <a:endParaRPr lang="zh-CN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44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r>
              <a:rPr lang="zh-CN" sz="144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Times New Roman" panose="02020603050405020304" charset="0"/>
              </a:rPr>
              <a:t>图</a:t>
            </a:r>
            <a:r>
              <a:rPr lang="en-US" altLang="zh-CN" sz="144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Times New Roman" panose="02020603050405020304" charset="0"/>
              </a:rPr>
              <a:t>6</a:t>
            </a:r>
            <a:r>
              <a:rPr lang="en-US" sz="1440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  2016-2020</a:t>
            </a:r>
            <a:r>
              <a:rPr lang="zh-CN" sz="1440">
                <a:latin typeface="黑体" panose="02010609060101010101" charset="-122"/>
                <a:ea typeface="黑体" panose="02010609060101010101" charset="-122"/>
                <a:cs typeface="Times New Roman" panose="02020603050405020304" charset="0"/>
                <a:sym typeface="Times New Roman" panose="02020603050405020304" charset="0"/>
              </a:rPr>
              <a:t>年</a:t>
            </a:r>
            <a:r>
              <a:rPr lang="zh-CN" altLang="en-US" sz="1440">
                <a:latin typeface="黑体" panose="02010609060101010101" charset="-122"/>
                <a:ea typeface="黑体" panose="02010609060101010101" charset="-122"/>
                <a:cs typeface="Times New Roman" panose="02020603050405020304" charset="0"/>
                <a:sym typeface="Times New Roman" panose="02020603050405020304" charset="0"/>
              </a:rPr>
              <a:t>服务业</a:t>
            </a:r>
            <a:r>
              <a:rPr lang="zh-CN" sz="1440">
                <a:latin typeface="黑体" panose="02010609060101010101" charset="-122"/>
                <a:ea typeface="黑体" panose="02010609060101010101" charset="-122"/>
                <a:cs typeface="Times New Roman" panose="02020603050405020304" charset="0"/>
                <a:sym typeface="Times New Roman" panose="02020603050405020304" charset="0"/>
              </a:rPr>
              <a:t>增加值及增速</a:t>
            </a:r>
          </a:p>
        </c:rich>
      </c:tx>
      <c:layout>
        <c:manualLayout>
          <c:xMode val="edge"/>
          <c:yMode val="edge"/>
          <c:x val="0.175189535134952"/>
          <c:y val="6.9268067420918998E-3"/>
        </c:manualLayout>
      </c:layout>
      <c:overlay val="0"/>
      <c:spPr>
        <a:noFill/>
        <a:ln w="2156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1933395004625"/>
          <c:y val="0.18887093050103901"/>
          <c:w val="0.82331174838112897"/>
          <c:h val="0.65804664049872996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Sheet1!$A$3</c:f>
              <c:strCache>
                <c:ptCount val="1"/>
                <c:pt idx="0">
                  <c:v>绝对额</c:v>
                </c:pt>
              </c:strCache>
            </c:strRef>
          </c:tx>
          <c:spPr>
            <a:solidFill>
              <a:schemeClr val="accent2"/>
            </a:solidFill>
            <a:ln w="10780">
              <a:noFill/>
              <a:prstDash val="solid"/>
            </a:ln>
          </c:spPr>
          <c:invertIfNegative val="0"/>
          <c:dLbls>
            <c:numFmt formatCode="#,##0.00_);[Red]\(#,##0.00\)" sourceLinked="0"/>
            <c:spPr>
              <a:noFill/>
              <a:ln w="21561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rgbClr val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Sheet1!$B$1:$F$1</c:f>
              <c:strCache>
                <c:ptCount val="5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  <c:pt idx="3">
                  <c:v>2019年</c:v>
                </c:pt>
                <c:pt idx="4">
                  <c:v>2020年</c:v>
                </c:pt>
              </c:strCache>
            </c:strRef>
          </c:cat>
          <c:val>
            <c:numRef>
              <c:f>Sheet1!$B$3:$F$3</c:f>
              <c:numCache>
                <c:formatCode>0.00_ </c:formatCode>
                <c:ptCount val="5"/>
                <c:pt idx="0">
                  <c:v>445.6</c:v>
                </c:pt>
                <c:pt idx="1">
                  <c:v>524.24</c:v>
                </c:pt>
                <c:pt idx="2">
                  <c:v>625.30999999999995</c:v>
                </c:pt>
                <c:pt idx="3">
                  <c:v>679</c:v>
                </c:pt>
                <c:pt idx="4">
                  <c:v>663.03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0660224"/>
        <c:axId val="293318656"/>
      </c:barChar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同比增速</c:v>
                </c:pt>
              </c:strCache>
            </c:strRef>
          </c:tx>
          <c:spPr>
            <a:ln w="20828" cap="rnd" cmpd="sng" algn="ctr">
              <a:solidFill>
                <a:schemeClr val="accent6"/>
              </a:solidFill>
              <a:prstDash val="solid"/>
              <a:round/>
            </a:ln>
          </c:spPr>
          <c:marker>
            <c:symbol val="diamond"/>
            <c:size val="5"/>
            <c:spPr>
              <a:solidFill>
                <a:schemeClr val="bg1"/>
              </a:solidFill>
              <a:ln w="6350" cap="flat" cmpd="sng" algn="ctr">
                <a:solidFill>
                  <a:schemeClr val="accent6"/>
                </a:solidFill>
                <a:prstDash val="solid"/>
                <a:round/>
              </a:ln>
            </c:spPr>
          </c:marker>
          <c:dLbls>
            <c:numFmt formatCode="0.0_ " sourceLinked="0"/>
            <c:spPr>
              <a:noFill/>
              <a:ln w="21561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rgbClr val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  <a:endParaRPr lang="zh-CN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Sheet1!$B$1:$F$1</c:f>
              <c:strCache>
                <c:ptCount val="5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  <c:pt idx="3">
                  <c:v>2019年</c:v>
                </c:pt>
                <c:pt idx="4">
                  <c:v>2020年</c:v>
                </c:pt>
              </c:strCache>
            </c:strRef>
          </c:cat>
          <c:val>
            <c:numRef>
              <c:f>Sheet1!$B$2:$F$2</c:f>
              <c:numCache>
                <c:formatCode>0.0_ </c:formatCode>
                <c:ptCount val="5"/>
                <c:pt idx="0">
                  <c:v>9.0711985179999992</c:v>
                </c:pt>
                <c:pt idx="1">
                  <c:v>8.4216689000000002</c:v>
                </c:pt>
                <c:pt idx="2">
                  <c:v>9.8126137999999994</c:v>
                </c:pt>
                <c:pt idx="3">
                  <c:v>8.1221819140000004</c:v>
                </c:pt>
                <c:pt idx="4">
                  <c:v>-3.7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93320576"/>
        <c:axId val="293322112"/>
      </c:lineChart>
      <c:catAx>
        <c:axId val="15066022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2695" cap="flat" cmpd="sng" algn="ctr">
            <a:noFill/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endParaRPr lang="zh-CN"/>
          </a:p>
        </c:txPr>
        <c:crossAx val="293318656"/>
        <c:crossesAt val="-50"/>
        <c:auto val="0"/>
        <c:lblAlgn val="ctr"/>
        <c:lblOffset val="100"/>
        <c:tickLblSkip val="1"/>
        <c:noMultiLvlLbl val="0"/>
      </c:catAx>
      <c:valAx>
        <c:axId val="293318656"/>
        <c:scaling>
          <c:orientation val="minMax"/>
          <c:max val="800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/>
              </a:solidFill>
              <a:prstDash val="solid"/>
              <a:round/>
            </a:ln>
          </c:spPr>
        </c:majorGridlines>
        <c:title>
          <c:tx>
            <c:rich>
              <a:bodyPr rot="0" spcFirstLastPara="0" vertOverflow="ellipsis" vert="horz" wrap="square" anchor="ctr" anchorCtr="1"/>
              <a:lstStyle/>
              <a:p>
                <a:pPr algn="ctr">
                  <a:defRPr lang="zh-CN" sz="800" b="0" i="0" u="none" strike="noStrike" kern="1200" baseline="0">
                    <a:solidFill>
                      <a:srgbClr val="000000"/>
                    </a:solidFill>
                    <a:latin typeface="Times New Roman" panose="02020603050405020304" charset="0"/>
                    <a:ea typeface="Arial" panose="020B0604020202020204" pitchFamily="2"/>
                    <a:cs typeface="Times New Roman" panose="02020603050405020304" charset="0"/>
                  </a:defRPr>
                </a:pPr>
                <a:r>
                  <a:rPr lang="zh-CN" sz="800"/>
                  <a:t>亿元</a:t>
                </a:r>
              </a:p>
            </c:rich>
          </c:tx>
          <c:layout>
            <c:manualLayout>
              <c:xMode val="edge"/>
              <c:yMode val="edge"/>
              <c:x val="6.0926550847810693E-2"/>
              <c:y val="0.10229829361515487"/>
            </c:manualLayout>
          </c:layout>
          <c:overlay val="0"/>
          <c:spPr>
            <a:noFill/>
            <a:ln w="21561">
              <a:noFill/>
            </a:ln>
          </c:spPr>
        </c:title>
        <c:numFmt formatCode="0_ " sourceLinked="0"/>
        <c:majorTickMark val="in"/>
        <c:minorTickMark val="none"/>
        <c:tickLblPos val="nextTo"/>
        <c:spPr>
          <a:ln w="2695" cap="flat" cmpd="sng" algn="ctr">
            <a:noFill/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endParaRPr lang="zh-CN"/>
          </a:p>
        </c:txPr>
        <c:crossAx val="150660224"/>
        <c:crosses val="autoZero"/>
        <c:crossBetween val="between"/>
        <c:majorUnit val="100"/>
      </c:valAx>
      <c:catAx>
        <c:axId val="2933205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93322112"/>
        <c:crossesAt val="-5"/>
        <c:auto val="0"/>
        <c:lblAlgn val="ctr"/>
        <c:lblOffset val="100"/>
        <c:noMultiLvlLbl val="0"/>
      </c:catAx>
      <c:valAx>
        <c:axId val="293322112"/>
        <c:scaling>
          <c:orientation val="minMax"/>
          <c:max val="40"/>
          <c:min val="-5"/>
        </c:scaling>
        <c:delete val="0"/>
        <c:axPos val="r"/>
        <c:title>
          <c:tx>
            <c:rich>
              <a:bodyPr rot="0" spcFirstLastPara="0" vertOverflow="ellipsis" vert="horz" wrap="square" anchor="ctr" anchorCtr="1"/>
              <a:lstStyle/>
              <a:p>
                <a:pPr algn="ctr">
                  <a:defRPr lang="zh-CN" sz="1000" b="0" i="0" u="none" strike="noStrike" kern="1200" baseline="0">
                    <a:solidFill>
                      <a:srgbClr val="000000"/>
                    </a:solidFill>
                    <a:latin typeface="Times New Roman" panose="02020603050405020304" charset="0"/>
                    <a:ea typeface="Arial" panose="020B0604020202020204" pitchFamily="2"/>
                    <a:cs typeface="Times New Roman" panose="02020603050405020304" charset="0"/>
                  </a:defRPr>
                </a:pPr>
                <a:r>
                  <a:rPr lang="en-US" sz="1000"/>
                  <a:t>%</a:t>
                </a:r>
              </a:p>
            </c:rich>
          </c:tx>
          <c:layout>
            <c:manualLayout>
              <c:xMode val="edge"/>
              <c:yMode val="edge"/>
              <c:x val="0.90532066802597999"/>
              <c:y val="0.103996637314792"/>
            </c:manualLayout>
          </c:layout>
          <c:overlay val="0"/>
          <c:spPr>
            <a:noFill/>
            <a:ln w="21561">
              <a:noFill/>
            </a:ln>
          </c:spPr>
        </c:title>
        <c:numFmt formatCode="0_ " sourceLinked="0"/>
        <c:majorTickMark val="in"/>
        <c:minorTickMark val="none"/>
        <c:tickLblPos val="nextTo"/>
        <c:spPr>
          <a:noFill/>
          <a:ln w="2695" cap="flat" cmpd="sng" algn="ctr">
            <a:noFill/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Arial" panose="020B0604020202020204" pitchFamily="2"/>
                <a:cs typeface="Times New Roman" panose="02020603050405020304" charset="0"/>
              </a:defRPr>
            </a:pPr>
            <a:endParaRPr lang="zh-CN"/>
          </a:p>
        </c:txPr>
        <c:crossAx val="293320576"/>
        <c:crosses val="max"/>
        <c:crossBetween val="between"/>
        <c:majorUnit val="5"/>
      </c:valAx>
      <c:spPr>
        <a:solidFill>
          <a:schemeClr val="bg1">
            <a:lumMod val="95000"/>
          </a:schemeClr>
        </a:solidFill>
        <a:ln w="10780">
          <a:solidFill>
            <a:schemeClr val="tx1">
              <a:lumMod val="50000"/>
              <a:lumOff val="50000"/>
            </a:schemeClr>
          </a:solidFill>
          <a:prstDash val="solid"/>
        </a:ln>
      </c:spPr>
    </c:plotArea>
    <c:legend>
      <c:legendPos val="r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endParaRPr lang="zh-CN"/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endParaRPr lang="zh-CN"/>
          </a:p>
        </c:txPr>
      </c:legendEntry>
      <c:layout>
        <c:manualLayout>
          <c:xMode val="edge"/>
          <c:yMode val="edge"/>
          <c:x val="0.122035693734398"/>
          <c:y val="0.202524557438863"/>
          <c:w val="0.18347585513078499"/>
          <c:h val="0.12591407678245001"/>
        </c:manualLayout>
      </c:layout>
      <c:overlay val="0"/>
      <c:spPr>
        <a:noFill/>
        <a:ln w="2695">
          <a:noFill/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zh-CN" sz="800" b="0" i="0" u="none" strike="noStrike" kern="1200" baseline="0">
              <a:solidFill>
                <a:srgbClr val="000000"/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defRPr>
          </a:pPr>
          <a:endParaRPr lang="zh-CN"/>
        </a:p>
      </c:txPr>
    </c:legend>
    <c:plotVisOnly val="1"/>
    <c:dispBlanksAs val="gap"/>
    <c:showDLblsOverMax val="0"/>
  </c:chart>
  <c:spPr>
    <a:noFill/>
    <a:ln w="6350" cap="flat" cmpd="sng" algn="ctr">
      <a:noFill/>
      <a:prstDash val="solid"/>
      <a:round/>
    </a:ln>
  </c:spPr>
  <c:txPr>
    <a:bodyPr/>
    <a:lstStyle/>
    <a:p>
      <a:pPr>
        <a:defRPr lang="zh-CN" sz="1000" b="0" i="0" u="none" strike="noStrike" baseline="0">
          <a:solidFill>
            <a:srgbClr val="000000"/>
          </a:solidFill>
          <a:latin typeface="Times New Roman" panose="02020603050405020304" charset="0"/>
          <a:ea typeface="Arial" panose="020B0604020202020204" pitchFamily="2"/>
          <a:cs typeface="Times New Roman" panose="02020603050405020304" charset="0"/>
        </a:defRPr>
      </a:pPr>
      <a:endParaRPr lang="zh-CN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40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r>
              <a:rPr lang="zh-CN" sz="1400" b="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Times New Roman" panose="02020603050405020304" charset="0"/>
              </a:rPr>
              <a:t>图</a:t>
            </a:r>
            <a:r>
              <a:rPr lang="en-US" altLang="zh-CN" sz="1400" b="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Times New Roman" panose="02020603050405020304" charset="0"/>
              </a:rPr>
              <a:t>7</a:t>
            </a:r>
            <a:r>
              <a:rPr lang="en-US" altLang="zh-CN" sz="1400" b="0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 </a:t>
            </a:r>
            <a:r>
              <a:rPr lang="en-US" sz="1400" b="0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 2016-2020</a:t>
            </a:r>
            <a:r>
              <a:rPr lang="zh-CN" sz="1400" b="0">
                <a:latin typeface="黑体" panose="02010609060101010101" charset="-122"/>
                <a:ea typeface="黑体" panose="02010609060101010101" charset="-122"/>
                <a:cs typeface="Times New Roman" panose="02020603050405020304" charset="0"/>
                <a:sym typeface="Times New Roman" panose="02020603050405020304" charset="0"/>
              </a:rPr>
              <a:t>年固定资产投资增速</a:t>
            </a:r>
          </a:p>
        </c:rich>
      </c:tx>
      <c:layout>
        <c:manualLayout>
          <c:xMode val="edge"/>
          <c:yMode val="edge"/>
          <c:x val="0.22923442865909199"/>
          <c:y val="1.00502344752515E-2"/>
        </c:manualLayout>
      </c:layout>
      <c:overlay val="0"/>
      <c:spPr>
        <a:noFill/>
        <a:ln w="2083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0780847835731"/>
          <c:y val="0.178010471204188"/>
          <c:w val="0.83728558738548198"/>
          <c:h val="0.7141361256544499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比上年增长</c:v>
                </c:pt>
              </c:strCache>
            </c:strRef>
          </c:tx>
          <c:spPr>
            <a:ln w="20828" cap="flat" cmpd="sng" algn="ctr">
              <a:solidFill>
                <a:schemeClr val="accent2"/>
              </a:solidFill>
              <a:prstDash val="solid"/>
              <a:bevel/>
            </a:ln>
          </c:spPr>
          <c:marker>
            <c:symbol val="circle"/>
            <c:size val="5"/>
            <c:spPr>
              <a:noFill/>
              <a:ln w="6350" cap="flat" cmpd="sng" algn="ctr">
                <a:solidFill>
                  <a:schemeClr val="accent6"/>
                </a:solidFill>
                <a:prstDash val="solid"/>
                <a:round/>
              </a:ln>
            </c:spPr>
          </c:marker>
          <c:dLbls>
            <c:dLbl>
              <c:idx val="0"/>
              <c:layout>
                <c:manualLayout>
                  <c:x val="1.8812463256907701E-2"/>
                  <c:y val="-2.95051353874885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812463256907701E-2"/>
                  <c:y val="-4.0709617180205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812463256907701E-2"/>
                  <c:y val="-4.0709617180205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1164021164021201E-2"/>
                  <c:y val="-3.32399626517273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7.0546737213403902E-3"/>
                  <c:y val="-3.52806414662086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_ " sourceLinked="0"/>
            <c:spPr>
              <a:noFill/>
              <a:ln w="20838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rgbClr val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  <a:endParaRPr lang="zh-CN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Sheet1!$B$1:$F$1</c:f>
              <c:strCache>
                <c:ptCount val="5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  <c:pt idx="3">
                  <c:v>2019年</c:v>
                </c:pt>
                <c:pt idx="4">
                  <c:v>2020年</c:v>
                </c:pt>
              </c:strCache>
            </c:strRef>
          </c:cat>
          <c:val>
            <c:numRef>
              <c:f>Sheet1!$B$2:$F$2</c:f>
              <c:numCache>
                <c:formatCode>0.0_ </c:formatCode>
                <c:ptCount val="5"/>
                <c:pt idx="0">
                  <c:v>17</c:v>
                </c:pt>
                <c:pt idx="1">
                  <c:v>15.5</c:v>
                </c:pt>
                <c:pt idx="2">
                  <c:v>11.2</c:v>
                </c:pt>
                <c:pt idx="3">
                  <c:v>11</c:v>
                </c:pt>
                <c:pt idx="4">
                  <c:v>-22.1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0605696"/>
        <c:axId val="200608384"/>
      </c:lineChart>
      <c:catAx>
        <c:axId val="20060569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noFill/>
          <a:ln w="2605" cap="flat" cmpd="sng" algn="ctr">
            <a:noFill/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endParaRPr lang="zh-CN"/>
          </a:p>
        </c:txPr>
        <c:crossAx val="200608384"/>
        <c:crossesAt val="-25"/>
        <c:auto val="0"/>
        <c:lblAlgn val="ctr"/>
        <c:lblOffset val="100"/>
        <c:tickLblSkip val="1"/>
        <c:noMultiLvlLbl val="0"/>
      </c:catAx>
      <c:valAx>
        <c:axId val="200608384"/>
        <c:scaling>
          <c:orientation val="minMax"/>
          <c:max val="25"/>
          <c:min val="-25"/>
        </c:scaling>
        <c:delete val="0"/>
        <c:axPos val="l"/>
        <c:majorGridlines>
          <c:spPr>
            <a:ln w="6350" cap="flat" cmpd="sng" algn="ctr">
              <a:solidFill>
                <a:schemeClr val="bg1"/>
              </a:solidFill>
              <a:prstDash val="solid"/>
              <a:round/>
            </a:ln>
          </c:spPr>
        </c:majorGridlines>
        <c:title>
          <c:tx>
            <c:rich>
              <a:bodyPr rot="0" spcFirstLastPara="0" vertOverflow="ellipsis" vert="horz" wrap="square" anchor="ctr" anchorCtr="1"/>
              <a:lstStyle/>
              <a:p>
                <a:pPr algn="ctr">
                  <a:defRPr lang="zh-CN" sz="800" b="0" i="0" u="none" strike="noStrike" kern="1200" baseline="0">
                    <a:solidFill>
                      <a:srgbClr val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  <a:r>
                  <a:rPr lang="en-US" altLang="zh-CN" sz="800"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rPr>
                  <a:t>%</a:t>
                </a:r>
              </a:p>
            </c:rich>
          </c:tx>
          <c:layout>
            <c:manualLayout>
              <c:xMode val="edge"/>
              <c:yMode val="edge"/>
              <c:x val="4.9574642217725999E-2"/>
              <c:y val="6.21861730634456E-2"/>
            </c:manualLayout>
          </c:layout>
          <c:overlay val="0"/>
          <c:spPr>
            <a:noFill/>
            <a:ln w="20838">
              <a:noFill/>
            </a:ln>
          </c:spPr>
        </c:title>
        <c:numFmt formatCode="0_ " sourceLinked="0"/>
        <c:majorTickMark val="in"/>
        <c:minorTickMark val="none"/>
        <c:tickLblPos val="nextTo"/>
        <c:spPr>
          <a:noFill/>
          <a:ln w="2605" cap="flat" cmpd="sng" algn="ctr">
            <a:noFill/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endParaRPr lang="zh-CN"/>
          </a:p>
        </c:txPr>
        <c:crossAx val="200605696"/>
        <c:crosses val="autoZero"/>
        <c:crossBetween val="between"/>
        <c:majorUnit val="10"/>
      </c:valAx>
      <c:spPr>
        <a:solidFill>
          <a:schemeClr val="bg1">
            <a:lumMod val="95000"/>
          </a:schemeClr>
        </a:solidFill>
        <a:ln w="10419">
          <a:solidFill>
            <a:schemeClr val="tx1">
              <a:lumMod val="50000"/>
              <a:lumOff val="50000"/>
            </a:schemeClr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noFill/>
      <a:prstDash val="solid"/>
      <a:round/>
    </a:ln>
  </c:spPr>
  <c:txPr>
    <a:bodyPr/>
    <a:lstStyle/>
    <a:p>
      <a:pPr>
        <a:defRPr lang="zh-CN" sz="1000" b="0" i="0" u="none" strike="noStrike" baseline="0">
          <a:solidFill>
            <a:srgbClr val="000000"/>
          </a:solidFill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  <a:endParaRPr lang="zh-CN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40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r>
              <a:rPr lang="zh-CN" altLang="en-US" sz="1400" b="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Times New Roman" panose="02020603050405020304" charset="0"/>
              </a:rPr>
              <a:t>图</a:t>
            </a:r>
            <a:r>
              <a:rPr lang="en-US" altLang="zh-CN" sz="1400" b="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Times New Roman" panose="02020603050405020304" charset="0"/>
              </a:rPr>
              <a:t>8</a:t>
            </a:r>
            <a:r>
              <a:rPr lang="en-US" altLang="zh-CN" sz="1400" b="0" baseline="0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  </a:t>
            </a:r>
            <a:r>
              <a:rPr lang="en-US" altLang="zh-CN" sz="1400" b="0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2016-2020</a:t>
            </a:r>
            <a:r>
              <a:rPr lang="zh-CN" altLang="en-US" sz="1400" b="0">
                <a:latin typeface="黑体" panose="02010609060101010101" charset="-122"/>
                <a:ea typeface="黑体" panose="02010609060101010101" charset="-122"/>
                <a:cs typeface="Times New Roman" panose="02020603050405020304" charset="0"/>
                <a:sym typeface="Times New Roman" panose="02020603050405020304" charset="0"/>
              </a:rPr>
              <a:t>年商品房销售面积</a:t>
            </a:r>
          </a:p>
        </c:rich>
      </c:tx>
      <c:layout>
        <c:manualLayout>
          <c:xMode val="edge"/>
          <c:yMode val="edge"/>
          <c:x val="0.21524072957652299"/>
          <c:y val="1.2688566696358001E-2"/>
        </c:manualLayout>
      </c:layout>
      <c:overlay val="0"/>
      <c:spPr>
        <a:noFill/>
        <a:ln w="2156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7770653986317897E-2"/>
          <c:y val="0.16076352067868499"/>
          <c:w val="0.88969810707503805"/>
          <c:h val="0.72496288441145296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绝对额</c:v>
                </c:pt>
              </c:strCache>
            </c:strRef>
          </c:tx>
          <c:spPr>
            <a:solidFill>
              <a:schemeClr val="accent2"/>
            </a:solidFill>
            <a:ln w="10780">
              <a:noFill/>
              <a:prstDash val="solid"/>
            </a:ln>
          </c:spPr>
          <c:invertIfNegative val="0"/>
          <c:dLbls>
            <c:dLbl>
              <c:idx val="1"/>
              <c:numFmt formatCode="#,##0.00_);[Red]\(#,##0.00\)" sourceLinked="0"/>
              <c:spPr>
                <a:noFill/>
                <a:ln w="21561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rgbClr val="000000"/>
                      </a:solidFill>
                      <a:latin typeface="Times New Roman" panose="02020603050405020304"/>
                      <a:ea typeface="Times New Roman" panose="02020603050405020304"/>
                      <a:cs typeface="Times New Roman" panose="02020603050405020304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numFmt formatCode="#,##0.00_);[Red]\(#,##0.00\)" sourceLinked="0"/>
              <c:spPr>
                <a:noFill/>
                <a:ln w="21561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rgbClr val="000000"/>
                      </a:solidFill>
                      <a:latin typeface="Times New Roman" panose="02020603050405020304"/>
                      <a:ea typeface="Times New Roman" panose="02020603050405020304"/>
                      <a:cs typeface="Times New Roman" panose="02020603050405020304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numFmt formatCode="#,##0.00_);[Red]\(#,##0.00\)" sourceLinked="0"/>
              <c:spPr>
                <a:noFill/>
                <a:ln w="21561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rgbClr val="000000"/>
                      </a:solidFill>
                      <a:latin typeface="Times New Roman" panose="02020603050405020304"/>
                      <a:ea typeface="Times New Roman" panose="02020603050405020304"/>
                      <a:cs typeface="Times New Roman" panose="02020603050405020304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numFmt formatCode="#,##0.00_);[Red]\(#,##0.00\)" sourceLinked="0"/>
              <c:spPr>
                <a:noFill/>
                <a:ln w="21561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rgbClr val="000000"/>
                      </a:solidFill>
                      <a:latin typeface="Times New Roman" panose="02020603050405020304"/>
                      <a:ea typeface="Times New Roman" panose="02020603050405020304"/>
                      <a:cs typeface="Times New Roman" panose="02020603050405020304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_);[Red]\(#,##0.00\)" sourceLinked="0"/>
            <c:spPr>
              <a:noFill/>
              <a:ln w="21561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00" b="0" i="0" u="none" strike="noStrike" kern="1200" baseline="0">
                    <a:solidFill>
                      <a:srgbClr val="000000"/>
                    </a:solidFill>
                    <a:latin typeface="Times New Roman" panose="02020603050405020304"/>
                    <a:ea typeface="Times New Roman" panose="02020603050405020304"/>
                    <a:cs typeface="Times New Roman" panose="02020603050405020304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Sheet1!$B$1:$F$1</c:f>
              <c:strCache>
                <c:ptCount val="5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  <c:pt idx="3">
                  <c:v>2019年</c:v>
                </c:pt>
                <c:pt idx="4">
                  <c:v>2020年</c:v>
                </c:pt>
              </c:strCache>
            </c:strRef>
          </c:cat>
          <c:val>
            <c:numRef>
              <c:f>Sheet1!$B$2:$F$2</c:f>
              <c:numCache>
                <c:formatCode>0.00_ </c:formatCode>
                <c:ptCount val="5"/>
                <c:pt idx="0">
                  <c:v>302.86</c:v>
                </c:pt>
                <c:pt idx="1">
                  <c:v>306.08999999999997</c:v>
                </c:pt>
                <c:pt idx="2">
                  <c:v>341.3</c:v>
                </c:pt>
                <c:pt idx="3" formatCode="General">
                  <c:v>341.67</c:v>
                </c:pt>
                <c:pt idx="4" formatCode="General">
                  <c:v>278.89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0643328"/>
        <c:axId val="200644864"/>
      </c:barChart>
      <c:catAx>
        <c:axId val="20064332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2695" cap="flat" cmpd="sng" algn="ctr">
            <a:noFill/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000000"/>
                </a:solidFill>
                <a:latin typeface="Times New Roman" panose="02020603050405020304"/>
                <a:ea typeface="Times New Roman" panose="02020603050405020304"/>
                <a:cs typeface="Times New Roman" panose="02020603050405020304"/>
              </a:defRPr>
            </a:pPr>
            <a:endParaRPr lang="zh-CN"/>
          </a:p>
        </c:txPr>
        <c:crossAx val="200644864"/>
        <c:crossesAt val="-50"/>
        <c:auto val="0"/>
        <c:lblAlgn val="ctr"/>
        <c:lblOffset val="100"/>
        <c:tickLblSkip val="1"/>
        <c:noMultiLvlLbl val="0"/>
      </c:catAx>
      <c:valAx>
        <c:axId val="200644864"/>
        <c:scaling>
          <c:orientation val="minMax"/>
          <c:max val="500"/>
        </c:scaling>
        <c:delete val="0"/>
        <c:axPos val="l"/>
        <c:majorGridlines>
          <c:spPr>
            <a:ln w="6350" cap="flat" cmpd="sng" algn="ctr">
              <a:solidFill>
                <a:schemeClr val="bg1"/>
              </a:solidFill>
              <a:prstDash val="solid"/>
              <a:round/>
            </a:ln>
          </c:spPr>
        </c:majorGridlines>
        <c:title>
          <c:tx>
            <c:rich>
              <a:bodyPr rot="0" spcFirstLastPara="0" vertOverflow="ellipsis" vert="horz" wrap="square" anchor="ctr" anchorCtr="1"/>
              <a:lstStyle/>
              <a:p>
                <a:pPr algn="ctr">
                  <a:defRPr lang="zh-CN" sz="800" b="0" i="0" u="none" strike="noStrike" kern="1200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  <a:cs typeface="Arial" panose="020B0604020202020204" pitchFamily="2"/>
                  </a:defRPr>
                </a:pPr>
                <a:r>
                  <a:rPr lang="zh-CN" altLang="en-US" sz="800">
                    <a:latin typeface="宋体" panose="02010600030101010101" charset="-122"/>
                    <a:ea typeface="宋体" panose="02010600030101010101" charset="-122"/>
                  </a:rPr>
                  <a:t>万平方米</a:t>
                </a:r>
              </a:p>
            </c:rich>
          </c:tx>
          <c:layout>
            <c:manualLayout>
              <c:xMode val="edge"/>
              <c:yMode val="edge"/>
              <c:x val="4.2408821034775196E-3"/>
              <c:y val="9.0607067351253408E-3"/>
            </c:manualLayout>
          </c:layout>
          <c:overlay val="0"/>
          <c:spPr>
            <a:noFill/>
            <a:ln w="21561">
              <a:noFill/>
            </a:ln>
          </c:spPr>
        </c:title>
        <c:numFmt formatCode="0_ " sourceLinked="0"/>
        <c:majorTickMark val="in"/>
        <c:minorTickMark val="none"/>
        <c:tickLblPos val="nextTo"/>
        <c:spPr>
          <a:ln w="2695" cap="flat" cmpd="sng" algn="ctr">
            <a:noFill/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000000"/>
                </a:solidFill>
                <a:latin typeface="Times New Roman" panose="02020603050405020304"/>
                <a:ea typeface="Times New Roman" panose="02020603050405020304"/>
                <a:cs typeface="Times New Roman" panose="02020603050405020304"/>
              </a:defRPr>
            </a:pPr>
            <a:endParaRPr lang="zh-CN"/>
          </a:p>
        </c:txPr>
        <c:crossAx val="200643328"/>
        <c:crosses val="autoZero"/>
        <c:crossBetween val="between"/>
        <c:majorUnit val="100"/>
      </c:valAx>
      <c:spPr>
        <a:solidFill>
          <a:schemeClr val="bg1">
            <a:lumMod val="95000"/>
          </a:schemeClr>
        </a:solidFill>
        <a:ln w="10795">
          <a:solidFill>
            <a:schemeClr val="tx1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noFill/>
      <a:prstDash val="solid"/>
      <a:round/>
    </a:ln>
  </c:spPr>
  <c:txPr>
    <a:bodyPr/>
    <a:lstStyle/>
    <a:p>
      <a:pPr>
        <a:defRPr lang="zh-CN" sz="1000" b="0" i="0" u="none" strike="noStrike" baseline="0">
          <a:solidFill>
            <a:srgbClr val="000000"/>
          </a:solidFill>
          <a:latin typeface="Arial" panose="020B0604020202020204" pitchFamily="2"/>
          <a:ea typeface="Arial" panose="020B0604020202020204" pitchFamily="2"/>
          <a:cs typeface="Arial" panose="020B0604020202020204" pitchFamily="2"/>
        </a:defRPr>
      </a:pPr>
      <a:endParaRPr lang="zh-CN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40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r>
              <a:rPr lang="zh-CN" altLang="en-US" sz="1400" b="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Times New Roman" panose="02020603050405020304" charset="0"/>
              </a:rPr>
              <a:t>图</a:t>
            </a:r>
            <a:r>
              <a:rPr lang="en-US" altLang="zh-CN" sz="1400" b="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Times New Roman" panose="02020603050405020304" charset="0"/>
              </a:rPr>
              <a:t>9</a:t>
            </a:r>
            <a:r>
              <a:rPr lang="en-US" altLang="zh-CN" sz="1400" b="0" i="0" u="none" strike="noStrike" baseline="0">
                <a:effectLst/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  </a:t>
            </a:r>
            <a:r>
              <a:rPr lang="en-US" altLang="zh-CN" sz="1400" b="0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2016-2020</a:t>
            </a:r>
            <a:r>
              <a:rPr lang="zh-CN" altLang="en-US" sz="1400" b="0">
                <a:latin typeface="黑体" panose="02010609060101010101" charset="-122"/>
                <a:ea typeface="黑体" panose="02010609060101010101" charset="-122"/>
                <a:cs typeface="Times New Roman" panose="02020603050405020304" charset="0"/>
                <a:sym typeface="Times New Roman" panose="02020603050405020304" charset="0"/>
              </a:rPr>
              <a:t>年社会消费品零售总额</a:t>
            </a:r>
          </a:p>
        </c:rich>
      </c:tx>
      <c:layout>
        <c:manualLayout>
          <c:xMode val="edge"/>
          <c:yMode val="edge"/>
          <c:x val="0.146655597864214"/>
          <c:y val="4.2805077335006998E-2"/>
        </c:manualLayout>
      </c:layout>
      <c:overlay val="0"/>
      <c:spPr>
        <a:noFill/>
        <a:ln w="2156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9883803931822497E-2"/>
          <c:y val="0.21187698833510099"/>
          <c:w val="0.85458743886522404"/>
          <c:h val="0.67342523860021197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Sheet1!$A$3</c:f>
              <c:strCache>
                <c:ptCount val="1"/>
                <c:pt idx="0">
                  <c:v>绝对额</c:v>
                </c:pt>
              </c:strCache>
            </c:strRef>
          </c:tx>
          <c:spPr>
            <a:solidFill>
              <a:schemeClr val="accent2"/>
            </a:solidFill>
            <a:ln w="10780">
              <a:noFill/>
              <a:prstDash val="solid"/>
            </a:ln>
          </c:spPr>
          <c:invertIfNegative val="0"/>
          <c:dLbls>
            <c:dLbl>
              <c:idx val="1"/>
              <c:numFmt formatCode="#,##0.00_);[Red]\(#,##0.00\)" sourceLinked="0"/>
              <c:spPr>
                <a:noFill/>
                <a:ln w="21561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rgbClr val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numFmt formatCode="#,##0.00_);[Red]\(#,##0.00\)" sourceLinked="0"/>
              <c:spPr>
                <a:noFill/>
                <a:ln w="21561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rgbClr val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numFmt formatCode="#,##0.00_);[Red]\(#,##0.00\)" sourceLinked="0"/>
              <c:spPr>
                <a:noFill/>
                <a:ln w="21561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rgbClr val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numFmt formatCode="#,##0.00_);[Red]\(#,##0.00\)" sourceLinked="0"/>
              <c:spPr>
                <a:noFill/>
                <a:ln w="21561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rgbClr val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_);[Red]\(#,##0.00\)" sourceLinked="0"/>
            <c:spPr>
              <a:noFill/>
              <a:ln w="21561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00" b="0" i="0" u="none" strike="noStrike" kern="1200" baseline="0">
                    <a:solidFill>
                      <a:srgbClr val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Sheet1!$B$1:$F$1</c:f>
              <c:strCache>
                <c:ptCount val="5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  <c:pt idx="3">
                  <c:v>2019年</c:v>
                </c:pt>
                <c:pt idx="4">
                  <c:v>2020年</c:v>
                </c:pt>
              </c:strCache>
            </c:strRef>
          </c:cat>
          <c:val>
            <c:numRef>
              <c:f>Sheet1!$B$3:$F$3</c:f>
              <c:numCache>
                <c:formatCode>0.00_ </c:formatCode>
                <c:ptCount val="5"/>
                <c:pt idx="0">
                  <c:v>553.62599999999998</c:v>
                </c:pt>
                <c:pt idx="1">
                  <c:v>620.94060000000002</c:v>
                </c:pt>
                <c:pt idx="2">
                  <c:v>689.58839999999998</c:v>
                </c:pt>
                <c:pt idx="3">
                  <c:v>763.77869999999996</c:v>
                </c:pt>
                <c:pt idx="4">
                  <c:v>562.59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0724864"/>
        <c:axId val="200726400"/>
      </c:barChart>
      <c:catAx>
        <c:axId val="20072486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2695" cap="flat" cmpd="sng" algn="ctr">
            <a:noFill/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endParaRPr lang="zh-CN"/>
          </a:p>
        </c:txPr>
        <c:crossAx val="200726400"/>
        <c:crossesAt val="-50"/>
        <c:auto val="0"/>
        <c:lblAlgn val="ctr"/>
        <c:lblOffset val="100"/>
        <c:tickLblSkip val="1"/>
        <c:noMultiLvlLbl val="0"/>
      </c:catAx>
      <c:valAx>
        <c:axId val="200726400"/>
        <c:scaling>
          <c:orientation val="minMax"/>
          <c:max val="950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/>
              </a:solidFill>
              <a:prstDash val="solid"/>
              <a:round/>
            </a:ln>
          </c:spPr>
        </c:majorGridlines>
        <c:title>
          <c:tx>
            <c:rich>
              <a:bodyPr rot="0" spcFirstLastPara="0" vertOverflow="ellipsis" vert="horz" wrap="square" anchor="ctr" anchorCtr="1"/>
              <a:lstStyle/>
              <a:p>
                <a:pPr algn="ctr">
                  <a:defRPr lang="zh-CN" sz="800" b="0" i="0" u="none" strike="noStrike" kern="1200" baseline="0">
                    <a:solidFill>
                      <a:srgbClr val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  <a:r>
                  <a:rPr lang="zh-CN" altLang="en-US" sz="800"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rPr>
                  <a:t>亿元</a:t>
                </a:r>
              </a:p>
            </c:rich>
          </c:tx>
          <c:layout>
            <c:manualLayout>
              <c:xMode val="edge"/>
              <c:yMode val="edge"/>
              <c:x val="5.6421068425715299E-4"/>
              <c:y val="0.13849203814026301"/>
            </c:manualLayout>
          </c:layout>
          <c:overlay val="0"/>
          <c:spPr>
            <a:noFill/>
            <a:ln w="21561">
              <a:noFill/>
            </a:ln>
          </c:spPr>
        </c:title>
        <c:numFmt formatCode="0_ " sourceLinked="0"/>
        <c:majorTickMark val="in"/>
        <c:minorTickMark val="none"/>
        <c:tickLblPos val="nextTo"/>
        <c:spPr>
          <a:ln w="2695" cap="flat" cmpd="sng" algn="ctr">
            <a:noFill/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endParaRPr lang="zh-CN"/>
          </a:p>
        </c:txPr>
        <c:crossAx val="200724864"/>
        <c:crosses val="autoZero"/>
        <c:crossBetween val="between"/>
        <c:majorUnit val="200"/>
      </c:valAx>
      <c:spPr>
        <a:solidFill>
          <a:schemeClr val="bg1">
            <a:lumMod val="95000"/>
          </a:schemeClr>
        </a:solidFill>
        <a:ln w="10780">
          <a:solidFill>
            <a:schemeClr val="tx1">
              <a:lumMod val="50000"/>
              <a:lumOff val="50000"/>
            </a:schemeClr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noFill/>
      <a:prstDash val="solid"/>
      <a:round/>
    </a:ln>
  </c:spPr>
  <c:txPr>
    <a:bodyPr/>
    <a:lstStyle/>
    <a:p>
      <a:pPr>
        <a:defRPr lang="zh-CN" sz="1000" b="0" i="0" u="none" strike="noStrike" baseline="0">
          <a:solidFill>
            <a:srgbClr val="000000"/>
          </a:solidFill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A17AF9-A612-4A40-938A-B781F360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1091</Words>
  <Characters>6223</Characters>
  <Application>Microsoft Office Word</Application>
  <DocSecurity>0</DocSecurity>
  <Lines>51</Lines>
  <Paragraphs>14</Paragraphs>
  <ScaleCrop>false</ScaleCrop>
  <Company>恩施州统计局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2008年恩施州国民经济和社会发展统计公报</dc:title>
  <dc:creator>NTKO</dc:creator>
  <cp:lastModifiedBy>卢根</cp:lastModifiedBy>
  <cp:revision>88</cp:revision>
  <cp:lastPrinted>2021-03-29T06:47:00Z</cp:lastPrinted>
  <dcterms:created xsi:type="dcterms:W3CDTF">2018-05-14T02:15:00Z</dcterms:created>
  <dcterms:modified xsi:type="dcterms:W3CDTF">2021-04-07T07:51:00Z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C6EEBEF7B41D4E8C8DD0E7FFAE6D7E87</vt:lpwstr>
  </property>
</Properties>
</file>