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87E" w:rsidRDefault="0066787E"/>
    <w:p w:rsidR="00A27F1B" w:rsidRPr="003B5D07" w:rsidRDefault="00A27F1B" w:rsidP="00A27F1B">
      <w:pPr>
        <w:ind w:firstLineChars="250" w:firstLine="900"/>
        <w:rPr>
          <w:rFonts w:ascii="方正小标宋简体" w:eastAsia="方正小标宋简体"/>
          <w:sz w:val="36"/>
          <w:szCs w:val="36"/>
        </w:rPr>
      </w:pPr>
      <w:r w:rsidRPr="003B5D07">
        <w:rPr>
          <w:rFonts w:ascii="方正小标宋简体" w:eastAsia="方正小标宋简体" w:hint="eastAsia"/>
          <w:sz w:val="36"/>
          <w:szCs w:val="36"/>
        </w:rPr>
        <w:t>十堰市2019年国民经济和社会发展统计公报</w:t>
      </w:r>
    </w:p>
    <w:p w:rsidR="00A27F1B" w:rsidRPr="007E12DB" w:rsidRDefault="00A27F1B" w:rsidP="00A27F1B">
      <w:r w:rsidRPr="007E12DB">
        <w:t> </w:t>
      </w:r>
    </w:p>
    <w:p w:rsidR="00A27F1B" w:rsidRPr="00003075" w:rsidRDefault="00A27F1B" w:rsidP="00A27F1B">
      <w:pPr>
        <w:ind w:firstLineChars="200" w:firstLine="560"/>
        <w:jc w:val="center"/>
        <w:rPr>
          <w:rFonts w:ascii="仿宋" w:eastAsia="仿宋" w:hAnsi="仿宋"/>
          <w:bCs/>
          <w:kern w:val="36"/>
          <w:sz w:val="28"/>
          <w:szCs w:val="28"/>
        </w:rPr>
      </w:pPr>
      <w:r w:rsidRPr="00003075">
        <w:rPr>
          <w:rFonts w:ascii="仿宋" w:eastAsia="仿宋" w:hAnsi="仿宋" w:hint="eastAsia"/>
          <w:bCs/>
          <w:kern w:val="36"/>
          <w:sz w:val="28"/>
          <w:szCs w:val="28"/>
        </w:rPr>
        <w:t>十堰市统计局</w:t>
      </w:r>
    </w:p>
    <w:p w:rsidR="00A27F1B" w:rsidRPr="00003075" w:rsidRDefault="00A27F1B" w:rsidP="00A27F1B">
      <w:pPr>
        <w:ind w:firstLineChars="200" w:firstLine="560"/>
        <w:jc w:val="center"/>
        <w:rPr>
          <w:rFonts w:ascii="仿宋" w:eastAsia="仿宋" w:hAnsi="仿宋"/>
          <w:bCs/>
          <w:kern w:val="36"/>
          <w:sz w:val="28"/>
          <w:szCs w:val="28"/>
        </w:rPr>
      </w:pPr>
      <w:r w:rsidRPr="00003075">
        <w:rPr>
          <w:rFonts w:ascii="仿宋" w:eastAsia="仿宋" w:hAnsi="仿宋" w:hint="eastAsia"/>
          <w:bCs/>
          <w:kern w:val="36"/>
          <w:sz w:val="28"/>
          <w:szCs w:val="28"/>
        </w:rPr>
        <w:t>湖北省统计局十堰调查监测分局</w:t>
      </w:r>
    </w:p>
    <w:p w:rsidR="00A27F1B" w:rsidRPr="00003075" w:rsidRDefault="00A27F1B" w:rsidP="00A27F1B">
      <w:pPr>
        <w:ind w:firstLineChars="200" w:firstLine="560"/>
        <w:jc w:val="center"/>
        <w:rPr>
          <w:rFonts w:ascii="仿宋" w:eastAsia="仿宋" w:hAnsi="仿宋"/>
          <w:bCs/>
          <w:kern w:val="36"/>
          <w:sz w:val="28"/>
          <w:szCs w:val="28"/>
        </w:rPr>
      </w:pPr>
      <w:r w:rsidRPr="00003075">
        <w:rPr>
          <w:rFonts w:ascii="仿宋" w:eastAsia="仿宋" w:hAnsi="仿宋" w:hint="eastAsia"/>
          <w:bCs/>
          <w:kern w:val="36"/>
          <w:sz w:val="28"/>
          <w:szCs w:val="28"/>
        </w:rPr>
        <w:t>国家统计局十堰调查队</w:t>
      </w:r>
    </w:p>
    <w:p w:rsidR="00A27F1B" w:rsidRPr="00CF44EF" w:rsidRDefault="00A27F1B" w:rsidP="00A27F1B">
      <w:pPr>
        <w:ind w:firstLineChars="200" w:firstLine="482"/>
        <w:jc w:val="center"/>
        <w:rPr>
          <w:rFonts w:ascii="仿宋" w:eastAsia="仿宋" w:hAnsi="仿宋"/>
          <w:b/>
          <w:bCs/>
          <w:color w:val="272636"/>
          <w:kern w:val="36"/>
          <w:sz w:val="24"/>
          <w:szCs w:val="24"/>
        </w:rPr>
      </w:pPr>
    </w:p>
    <w:p w:rsidR="00A27F1B" w:rsidRPr="009D61DE" w:rsidRDefault="00A27F1B" w:rsidP="00A27F1B">
      <w:pPr>
        <w:ind w:firstLineChars="200" w:firstLine="640"/>
        <w:rPr>
          <w:rFonts w:ascii="仿宋" w:eastAsia="仿宋" w:hAnsi="仿宋" w:cs="Times New Roman"/>
          <w:sz w:val="32"/>
          <w:szCs w:val="32"/>
        </w:rPr>
      </w:pPr>
      <w:r w:rsidRPr="009D61DE">
        <w:rPr>
          <w:rFonts w:ascii="仿宋" w:eastAsia="仿宋" w:hAnsi="仿宋" w:cs="Times New Roman" w:hint="eastAsia"/>
          <w:sz w:val="32"/>
          <w:szCs w:val="32"/>
        </w:rPr>
        <w:t>2</w:t>
      </w:r>
      <w:r w:rsidRPr="009D61DE">
        <w:rPr>
          <w:rFonts w:ascii="仿宋" w:eastAsia="仿宋" w:hAnsi="仿宋" w:cs="Times New Roman"/>
          <w:sz w:val="32"/>
          <w:szCs w:val="32"/>
        </w:rPr>
        <w:t>019</w:t>
      </w:r>
      <w:r w:rsidRPr="009D61DE">
        <w:rPr>
          <w:rFonts w:ascii="仿宋" w:eastAsia="仿宋" w:hAnsi="仿宋" w:cs="Times New Roman" w:hint="eastAsia"/>
          <w:sz w:val="32"/>
          <w:szCs w:val="32"/>
        </w:rPr>
        <w:t>年，在市委市政府的坚强领导下，全市上下坚持稳中求进工作总基调，贯彻</w:t>
      </w:r>
      <w:r w:rsidRPr="009D61DE">
        <w:rPr>
          <w:rFonts w:ascii="仿宋" w:eastAsia="仿宋" w:hAnsi="仿宋" w:cs="Times New Roman"/>
          <w:sz w:val="32"/>
          <w:szCs w:val="32"/>
        </w:rPr>
        <w:t>落实新发展理念，坚定推动高质量发展，扎实做好 “</w:t>
      </w:r>
      <w:r w:rsidRPr="009D61DE">
        <w:rPr>
          <w:rFonts w:ascii="仿宋" w:eastAsia="仿宋" w:hAnsi="仿宋" w:cs="Times New Roman" w:hint="eastAsia"/>
          <w:sz w:val="32"/>
          <w:szCs w:val="32"/>
        </w:rPr>
        <w:t>六</w:t>
      </w:r>
      <w:r w:rsidRPr="009D61DE">
        <w:rPr>
          <w:rFonts w:ascii="仿宋" w:eastAsia="仿宋" w:hAnsi="仿宋" w:cs="Times New Roman"/>
          <w:sz w:val="32"/>
          <w:szCs w:val="32"/>
        </w:rPr>
        <w:t>稳”</w:t>
      </w:r>
      <w:r w:rsidRPr="009D61DE">
        <w:rPr>
          <w:rFonts w:ascii="仿宋" w:eastAsia="仿宋" w:hAnsi="仿宋" w:cs="Times New Roman" w:hint="eastAsia"/>
          <w:sz w:val="32"/>
          <w:szCs w:val="32"/>
        </w:rPr>
        <w:t>工作</w:t>
      </w:r>
      <w:r w:rsidRPr="009D61DE">
        <w:rPr>
          <w:rFonts w:ascii="仿宋" w:eastAsia="仿宋" w:hAnsi="仿宋" w:cs="Times New Roman"/>
          <w:sz w:val="32"/>
          <w:szCs w:val="32"/>
        </w:rPr>
        <w:t>，</w:t>
      </w:r>
      <w:r w:rsidRPr="009D61DE">
        <w:rPr>
          <w:rFonts w:ascii="仿宋" w:eastAsia="仿宋" w:hAnsi="仿宋" w:cs="Times New Roman" w:hint="eastAsia"/>
          <w:sz w:val="32"/>
          <w:szCs w:val="32"/>
        </w:rPr>
        <w:t>围绕全省“一芯两带三区”区域和产业战略布局，统筹推进稳增长、促改革、调结构、惠民生、防风险、强生态工作，经济运行总体平稳，发展水平迈上新台阶，发展质量稳步提升，人民生活福祉持续增进，各项社会事业繁荣发展，生态环境质量总体改善</w:t>
      </w:r>
      <w:r w:rsidRPr="009D61DE">
        <w:rPr>
          <w:rFonts w:ascii="仿宋" w:eastAsia="仿宋" w:hAnsi="仿宋" w:cs="Times New Roman"/>
          <w:sz w:val="32"/>
          <w:szCs w:val="32"/>
        </w:rPr>
        <w:t>。</w:t>
      </w:r>
    </w:p>
    <w:p w:rsidR="00A27F1B" w:rsidRPr="00266041" w:rsidRDefault="00A27F1B" w:rsidP="00A27F1B">
      <w:pPr>
        <w:widowControl/>
        <w:shd w:val="clear" w:color="auto" w:fill="FFFFFF"/>
        <w:ind w:firstLineChars="200" w:firstLine="643"/>
        <w:rPr>
          <w:rFonts w:ascii="黑体" w:eastAsia="黑体" w:hAnsi="黑体" w:cs="宋体"/>
          <w:b/>
          <w:color w:val="333333"/>
          <w:kern w:val="0"/>
          <w:sz w:val="32"/>
          <w:szCs w:val="32"/>
        </w:rPr>
      </w:pPr>
      <w:r w:rsidRPr="00266041">
        <w:rPr>
          <w:rFonts w:ascii="黑体" w:eastAsia="黑体" w:hAnsi="黑体" w:cs="宋体" w:hint="eastAsia"/>
          <w:b/>
          <w:color w:val="000000"/>
          <w:kern w:val="0"/>
          <w:sz w:val="32"/>
          <w:szCs w:val="32"/>
          <w:shd w:val="clear" w:color="auto" w:fill="FFFFFF"/>
        </w:rPr>
        <w:t>一、综合</w:t>
      </w:r>
    </w:p>
    <w:p w:rsidR="00A27F1B" w:rsidRDefault="00A27F1B" w:rsidP="00A27F1B">
      <w:pPr>
        <w:ind w:firstLineChars="200" w:firstLine="640"/>
        <w:rPr>
          <w:rFonts w:ascii="仿宋" w:eastAsia="仿宋" w:hAnsi="仿宋"/>
          <w:color w:val="FF0000"/>
          <w:sz w:val="32"/>
          <w:szCs w:val="32"/>
        </w:rPr>
      </w:pPr>
      <w:r w:rsidRPr="009D61DE">
        <w:rPr>
          <w:rFonts w:ascii="仿宋" w:eastAsia="仿宋" w:hAnsi="仿宋" w:cs="Times New Roman" w:hint="eastAsia"/>
          <w:sz w:val="32"/>
          <w:szCs w:val="32"/>
        </w:rPr>
        <w:t>根据第四次全国经济普查数据修订结果和国家统计局正式实施的地区生产总值统一核算，</w:t>
      </w:r>
      <w:r w:rsidRPr="009D61DE">
        <w:rPr>
          <w:rFonts w:ascii="仿宋" w:eastAsia="仿宋" w:hAnsi="仿宋" w:cs="Times New Roman"/>
          <w:sz w:val="32"/>
          <w:szCs w:val="32"/>
        </w:rPr>
        <w:t>2019</w:t>
      </w:r>
      <w:r w:rsidRPr="009D61DE">
        <w:rPr>
          <w:rFonts w:ascii="仿宋" w:eastAsia="仿宋" w:hAnsi="仿宋" w:cs="Times New Roman" w:hint="eastAsia"/>
          <w:sz w:val="32"/>
          <w:szCs w:val="32"/>
        </w:rPr>
        <w:t>年全市实现地区生产总值（GDP）</w:t>
      </w:r>
      <w:r w:rsidRPr="009D61DE">
        <w:rPr>
          <w:rFonts w:ascii="仿宋" w:eastAsia="仿宋" w:hAnsi="仿宋" w:cs="Times New Roman"/>
          <w:sz w:val="32"/>
          <w:szCs w:val="32"/>
        </w:rPr>
        <w:t>2012.7</w:t>
      </w:r>
      <w:r w:rsidRPr="009D61DE">
        <w:rPr>
          <w:rFonts w:ascii="仿宋" w:eastAsia="仿宋" w:hAnsi="仿宋" w:cs="Times New Roman" w:hint="eastAsia"/>
          <w:sz w:val="32"/>
          <w:szCs w:val="32"/>
        </w:rPr>
        <w:t>亿元，按</w:t>
      </w:r>
      <w:r w:rsidRPr="009D61DE">
        <w:rPr>
          <w:rFonts w:ascii="仿宋" w:eastAsia="仿宋" w:hAnsi="仿宋" w:cs="Times New Roman"/>
          <w:sz w:val="32"/>
          <w:szCs w:val="32"/>
        </w:rPr>
        <w:t>可比价格计算，</w:t>
      </w:r>
      <w:r w:rsidRPr="009D61DE">
        <w:rPr>
          <w:rFonts w:ascii="仿宋" w:eastAsia="仿宋" w:hAnsi="仿宋" w:cs="Times New Roman" w:hint="eastAsia"/>
          <w:sz w:val="32"/>
          <w:szCs w:val="32"/>
        </w:rPr>
        <w:t>增长</w:t>
      </w:r>
      <w:r w:rsidRPr="009D61DE">
        <w:rPr>
          <w:rFonts w:ascii="仿宋" w:eastAsia="仿宋" w:hAnsi="仿宋" w:cs="Times New Roman"/>
          <w:sz w:val="32"/>
          <w:szCs w:val="32"/>
        </w:rPr>
        <w:t>7.0</w:t>
      </w:r>
      <w:r w:rsidRPr="009D61DE">
        <w:rPr>
          <w:rFonts w:ascii="仿宋" w:eastAsia="仿宋" w:hAnsi="仿宋" w:cs="Times New Roman" w:hint="eastAsia"/>
          <w:sz w:val="32"/>
          <w:szCs w:val="32"/>
        </w:rPr>
        <w:t>%。其中，第一产业增加值</w:t>
      </w:r>
      <w:r w:rsidRPr="009D61DE">
        <w:rPr>
          <w:rFonts w:ascii="仿宋" w:eastAsia="仿宋" w:hAnsi="仿宋" w:cs="Times New Roman"/>
          <w:sz w:val="32"/>
          <w:szCs w:val="32"/>
        </w:rPr>
        <w:t>171.5</w:t>
      </w:r>
      <w:r w:rsidRPr="009D61DE">
        <w:rPr>
          <w:rFonts w:ascii="仿宋" w:eastAsia="仿宋" w:hAnsi="仿宋" w:cs="Times New Roman" w:hint="eastAsia"/>
          <w:sz w:val="32"/>
          <w:szCs w:val="32"/>
        </w:rPr>
        <w:t>亿元，增长3.5%；第二产业增加值</w:t>
      </w:r>
      <w:r w:rsidRPr="009D61DE">
        <w:rPr>
          <w:rFonts w:ascii="仿宋" w:eastAsia="仿宋" w:hAnsi="仿宋" w:cs="Times New Roman"/>
          <w:sz w:val="32"/>
          <w:szCs w:val="32"/>
        </w:rPr>
        <w:t>884.2</w:t>
      </w:r>
      <w:r w:rsidRPr="009D61DE">
        <w:rPr>
          <w:rFonts w:ascii="仿宋" w:eastAsia="仿宋" w:hAnsi="仿宋" w:cs="Times New Roman" w:hint="eastAsia"/>
          <w:sz w:val="32"/>
          <w:szCs w:val="32"/>
        </w:rPr>
        <w:t>亿元，增长6.3%；第三产业增加值</w:t>
      </w:r>
      <w:r w:rsidRPr="009D61DE">
        <w:rPr>
          <w:rFonts w:ascii="仿宋" w:eastAsia="仿宋" w:hAnsi="仿宋" w:cs="Times New Roman"/>
          <w:sz w:val="32"/>
          <w:szCs w:val="32"/>
        </w:rPr>
        <w:t>957.1</w:t>
      </w:r>
      <w:r w:rsidRPr="009D61DE">
        <w:rPr>
          <w:rFonts w:ascii="仿宋" w:eastAsia="仿宋" w:hAnsi="仿宋" w:cs="Times New Roman" w:hint="eastAsia"/>
          <w:sz w:val="32"/>
          <w:szCs w:val="32"/>
        </w:rPr>
        <w:t>亿元，增长</w:t>
      </w:r>
      <w:r w:rsidRPr="009D61DE">
        <w:rPr>
          <w:rFonts w:ascii="仿宋" w:eastAsia="仿宋" w:hAnsi="仿宋" w:cs="Times New Roman"/>
          <w:sz w:val="32"/>
          <w:szCs w:val="32"/>
        </w:rPr>
        <w:t>8.5</w:t>
      </w:r>
      <w:r w:rsidRPr="009D61DE">
        <w:rPr>
          <w:rFonts w:ascii="仿宋" w:eastAsia="仿宋" w:hAnsi="仿宋" w:cs="Times New Roman" w:hint="eastAsia"/>
          <w:sz w:val="32"/>
          <w:szCs w:val="32"/>
        </w:rPr>
        <w:t>%。第一产业增加值占</w:t>
      </w:r>
      <w:r w:rsidR="00126B34">
        <w:rPr>
          <w:rFonts w:ascii="仿宋" w:eastAsia="仿宋" w:hAnsi="仿宋" w:cs="Times New Roman" w:hint="eastAsia"/>
          <w:sz w:val="32"/>
          <w:szCs w:val="32"/>
        </w:rPr>
        <w:t>地区</w:t>
      </w:r>
      <w:bookmarkStart w:id="0" w:name="_GoBack"/>
      <w:bookmarkEnd w:id="0"/>
      <w:r w:rsidRPr="009D61DE">
        <w:rPr>
          <w:rFonts w:ascii="仿宋" w:eastAsia="仿宋" w:hAnsi="仿宋" w:cs="Times New Roman" w:hint="eastAsia"/>
          <w:sz w:val="32"/>
          <w:szCs w:val="32"/>
        </w:rPr>
        <w:t>生产总值比重为</w:t>
      </w:r>
      <w:r w:rsidRPr="009D61DE">
        <w:rPr>
          <w:rFonts w:ascii="仿宋" w:eastAsia="仿宋" w:hAnsi="仿宋" w:cs="Times New Roman"/>
          <w:sz w:val="32"/>
          <w:szCs w:val="32"/>
        </w:rPr>
        <w:t>8.5%</w:t>
      </w:r>
      <w:r w:rsidRPr="009D61DE">
        <w:rPr>
          <w:rFonts w:ascii="仿宋" w:eastAsia="仿宋" w:hAnsi="仿宋" w:cs="Times New Roman" w:hint="eastAsia"/>
          <w:sz w:val="32"/>
          <w:szCs w:val="32"/>
        </w:rPr>
        <w:t>，第二产业增加值比重为</w:t>
      </w:r>
      <w:r w:rsidRPr="009D61DE">
        <w:rPr>
          <w:rFonts w:ascii="仿宋" w:eastAsia="仿宋" w:hAnsi="仿宋" w:cs="Times New Roman"/>
          <w:sz w:val="32"/>
          <w:szCs w:val="32"/>
        </w:rPr>
        <w:t>43.9%</w:t>
      </w:r>
      <w:r w:rsidRPr="009D61DE">
        <w:rPr>
          <w:rFonts w:ascii="仿宋" w:eastAsia="仿宋" w:hAnsi="仿宋" w:cs="Times New Roman" w:hint="eastAsia"/>
          <w:sz w:val="32"/>
          <w:szCs w:val="32"/>
        </w:rPr>
        <w:t>，第三产业增加值比重为</w:t>
      </w:r>
      <w:r w:rsidRPr="009D61DE">
        <w:rPr>
          <w:rFonts w:ascii="仿宋" w:eastAsia="仿宋" w:hAnsi="仿宋" w:cs="Times New Roman"/>
          <w:sz w:val="32"/>
          <w:szCs w:val="32"/>
        </w:rPr>
        <w:t>47.6%</w:t>
      </w:r>
      <w:r w:rsidRPr="009D61DE">
        <w:rPr>
          <w:rFonts w:ascii="仿宋" w:eastAsia="仿宋" w:hAnsi="仿宋" w:cs="Times New Roman" w:hint="eastAsia"/>
          <w:sz w:val="32"/>
          <w:szCs w:val="32"/>
        </w:rPr>
        <w:t>。</w:t>
      </w:r>
      <w:r w:rsidRPr="00D27815">
        <w:rPr>
          <w:rFonts w:ascii="仿宋" w:eastAsia="仿宋" w:hAnsi="仿宋" w:cs="Times New Roman" w:hint="eastAsia"/>
          <w:sz w:val="32"/>
          <w:szCs w:val="32"/>
        </w:rPr>
        <w:t>人均</w:t>
      </w:r>
      <w:r w:rsidR="00630B57">
        <w:rPr>
          <w:rFonts w:ascii="仿宋" w:eastAsia="仿宋" w:hAnsi="仿宋" w:cs="Times New Roman" w:hint="eastAsia"/>
          <w:sz w:val="32"/>
          <w:szCs w:val="32"/>
        </w:rPr>
        <w:t>地</w:t>
      </w:r>
      <w:r w:rsidR="00630B57">
        <w:rPr>
          <w:rFonts w:ascii="仿宋" w:eastAsia="仿宋" w:hAnsi="仿宋" w:cs="Times New Roman"/>
          <w:sz w:val="32"/>
          <w:szCs w:val="32"/>
        </w:rPr>
        <w:t>区</w:t>
      </w:r>
      <w:r w:rsidRPr="00D27815">
        <w:rPr>
          <w:rFonts w:ascii="仿宋" w:eastAsia="仿宋" w:hAnsi="仿宋" w:cs="Times New Roman" w:hint="eastAsia"/>
          <w:sz w:val="32"/>
          <w:szCs w:val="32"/>
        </w:rPr>
        <w:t>生产总值</w:t>
      </w:r>
      <w:r w:rsidRPr="00D27815">
        <w:rPr>
          <w:rFonts w:ascii="仿宋" w:eastAsia="仿宋" w:hAnsi="仿宋" w:cs="Times New Roman"/>
          <w:sz w:val="32"/>
          <w:szCs w:val="32"/>
        </w:rPr>
        <w:t>59232</w:t>
      </w:r>
      <w:r w:rsidRPr="00D27815">
        <w:rPr>
          <w:rFonts w:ascii="仿宋" w:eastAsia="仿宋" w:hAnsi="仿宋" w:cs="Times New Roman" w:hint="eastAsia"/>
          <w:sz w:val="32"/>
          <w:szCs w:val="32"/>
        </w:rPr>
        <w:t>元，比上年增长</w:t>
      </w:r>
      <w:r w:rsidRPr="00D27815">
        <w:rPr>
          <w:rFonts w:ascii="仿宋" w:eastAsia="仿宋" w:hAnsi="仿宋" w:cs="Times New Roman"/>
          <w:sz w:val="32"/>
          <w:szCs w:val="32"/>
        </w:rPr>
        <w:t>7.3%</w:t>
      </w:r>
      <w:r w:rsidRPr="00D27815">
        <w:rPr>
          <w:rFonts w:ascii="仿宋" w:eastAsia="仿宋" w:hAnsi="仿宋" w:cs="Times New Roman" w:hint="eastAsia"/>
          <w:sz w:val="32"/>
          <w:szCs w:val="32"/>
        </w:rPr>
        <w:t>。</w:t>
      </w:r>
    </w:p>
    <w:p w:rsidR="005945D0" w:rsidRDefault="005945D0"/>
    <w:p w:rsidR="005945D0" w:rsidRDefault="005945D0" w:rsidP="00A27F1B">
      <w:pPr>
        <w:jc w:val="center"/>
      </w:pPr>
      <w:r>
        <w:rPr>
          <w:noProof/>
        </w:rPr>
        <w:lastRenderedPageBreak/>
        <w:drawing>
          <wp:inline distT="0" distB="0" distL="0" distR="0">
            <wp:extent cx="4619625" cy="34671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45D0" w:rsidRDefault="00EB6776" w:rsidP="00EB6776">
      <w:pPr>
        <w:jc w:val="center"/>
      </w:pPr>
      <w:r>
        <w:rPr>
          <w:noProof/>
        </w:rPr>
        <w:drawing>
          <wp:inline distT="0" distB="0" distL="0" distR="0">
            <wp:extent cx="4602480" cy="3048000"/>
            <wp:effectExtent l="19050" t="0" r="762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45D0" w:rsidRDefault="005945D0" w:rsidP="00A27F1B">
      <w:pPr>
        <w:jc w:val="center"/>
      </w:pPr>
    </w:p>
    <w:p w:rsidR="00A27F1B" w:rsidRPr="00E90A88" w:rsidRDefault="00A27F1B" w:rsidP="00A27F1B">
      <w:pPr>
        <w:ind w:firstLineChars="200" w:firstLine="640"/>
        <w:rPr>
          <w:rFonts w:ascii="仿宋" w:eastAsia="仿宋" w:hAnsi="仿宋"/>
          <w:sz w:val="32"/>
          <w:szCs w:val="32"/>
        </w:rPr>
      </w:pPr>
      <w:r w:rsidRPr="009D61DE">
        <w:rPr>
          <w:rFonts w:ascii="仿宋" w:eastAsia="仿宋" w:hAnsi="仿宋" w:hint="eastAsia"/>
          <w:sz w:val="32"/>
          <w:szCs w:val="32"/>
        </w:rPr>
        <w:t>年末全市</w:t>
      </w:r>
      <w:r w:rsidR="00134347" w:rsidRPr="00E90A88">
        <w:rPr>
          <w:rFonts w:ascii="仿宋" w:eastAsia="仿宋" w:hAnsi="仿宋"/>
          <w:sz w:val="32"/>
          <w:szCs w:val="32"/>
        </w:rPr>
        <w:t>户籍人口346.16万人，</w:t>
      </w:r>
      <w:r w:rsidRPr="009D61DE">
        <w:rPr>
          <w:rFonts w:ascii="仿宋" w:eastAsia="仿宋" w:hAnsi="仿宋" w:hint="eastAsia"/>
          <w:sz w:val="32"/>
          <w:szCs w:val="32"/>
        </w:rPr>
        <w:t>常住人口</w:t>
      </w:r>
      <w:r w:rsidRPr="009D61DE">
        <w:rPr>
          <w:rFonts w:ascii="仿宋" w:eastAsia="仿宋" w:hAnsi="仿宋"/>
          <w:sz w:val="32"/>
          <w:szCs w:val="32"/>
        </w:rPr>
        <w:t>339.8</w:t>
      </w:r>
      <w:r w:rsidRPr="009D61DE">
        <w:rPr>
          <w:rFonts w:ascii="仿宋" w:eastAsia="仿宋" w:hAnsi="仿宋" w:hint="eastAsia"/>
          <w:sz w:val="32"/>
          <w:szCs w:val="32"/>
        </w:rPr>
        <w:t>万人，比上年末减少</w:t>
      </w:r>
      <w:r w:rsidRPr="009D61DE">
        <w:rPr>
          <w:rFonts w:ascii="仿宋" w:eastAsia="仿宋" w:hAnsi="仿宋"/>
          <w:color w:val="000000" w:themeColor="text1"/>
          <w:sz w:val="32"/>
          <w:szCs w:val="32"/>
        </w:rPr>
        <w:t>0.8</w:t>
      </w:r>
      <w:r w:rsidRPr="009D61DE">
        <w:rPr>
          <w:rFonts w:ascii="仿宋" w:eastAsia="仿宋" w:hAnsi="仿宋" w:hint="eastAsia"/>
          <w:sz w:val="32"/>
          <w:szCs w:val="32"/>
        </w:rPr>
        <w:t>万人，其中城镇常住人口</w:t>
      </w:r>
      <w:r w:rsidRPr="00AE114D">
        <w:rPr>
          <w:rFonts w:ascii="仿宋" w:eastAsia="仿宋" w:hAnsi="仿宋"/>
          <w:color w:val="000000" w:themeColor="text1"/>
          <w:sz w:val="32"/>
          <w:szCs w:val="32"/>
        </w:rPr>
        <w:t>192.02</w:t>
      </w:r>
      <w:r w:rsidRPr="009D61DE">
        <w:rPr>
          <w:rFonts w:ascii="仿宋" w:eastAsia="仿宋" w:hAnsi="仿宋" w:hint="eastAsia"/>
          <w:sz w:val="32"/>
          <w:szCs w:val="32"/>
        </w:rPr>
        <w:t>万人，占</w:t>
      </w:r>
      <w:r w:rsidR="002E3471">
        <w:rPr>
          <w:rFonts w:ascii="仿宋" w:eastAsia="仿宋" w:hAnsi="仿宋" w:hint="eastAsia"/>
          <w:sz w:val="32"/>
          <w:szCs w:val="32"/>
        </w:rPr>
        <w:t>常住</w:t>
      </w:r>
      <w:r w:rsidRPr="009D61DE">
        <w:rPr>
          <w:rFonts w:ascii="仿宋" w:eastAsia="仿宋" w:hAnsi="仿宋" w:hint="eastAsia"/>
          <w:sz w:val="32"/>
          <w:szCs w:val="32"/>
        </w:rPr>
        <w:t>总人口比重（常住人口城镇化率）为</w:t>
      </w:r>
      <w:r w:rsidRPr="009D61DE">
        <w:rPr>
          <w:rFonts w:ascii="仿宋" w:eastAsia="仿宋" w:hAnsi="仿宋"/>
          <w:color w:val="000000" w:themeColor="text1"/>
          <w:sz w:val="32"/>
          <w:szCs w:val="32"/>
        </w:rPr>
        <w:t>56.5%</w:t>
      </w:r>
      <w:r w:rsidRPr="009D61DE">
        <w:rPr>
          <w:rFonts w:ascii="仿宋" w:eastAsia="仿宋" w:hAnsi="仿宋" w:hint="eastAsia"/>
          <w:color w:val="000000" w:themeColor="text1"/>
          <w:sz w:val="32"/>
          <w:szCs w:val="32"/>
        </w:rPr>
        <w:t>，</w:t>
      </w:r>
      <w:r w:rsidRPr="009D61DE">
        <w:rPr>
          <w:rFonts w:ascii="仿宋" w:eastAsia="仿宋" w:hAnsi="仿宋" w:hint="eastAsia"/>
          <w:sz w:val="32"/>
          <w:szCs w:val="32"/>
        </w:rPr>
        <w:t>比上年末提高</w:t>
      </w:r>
      <w:r w:rsidRPr="009D61DE">
        <w:rPr>
          <w:rFonts w:ascii="仿宋" w:eastAsia="仿宋" w:hAnsi="仿宋"/>
          <w:color w:val="000000" w:themeColor="text1"/>
          <w:sz w:val="32"/>
          <w:szCs w:val="32"/>
        </w:rPr>
        <w:t>0.6</w:t>
      </w:r>
      <w:r w:rsidRPr="009D61DE">
        <w:rPr>
          <w:rFonts w:ascii="仿宋" w:eastAsia="仿宋" w:hAnsi="仿宋" w:hint="eastAsia"/>
          <w:sz w:val="32"/>
          <w:szCs w:val="32"/>
        </w:rPr>
        <w:t>个百分点。</w:t>
      </w:r>
      <w:r w:rsidRPr="00E90A88">
        <w:rPr>
          <w:rFonts w:ascii="仿宋" w:eastAsia="仿宋" w:hAnsi="仿宋"/>
          <w:sz w:val="32"/>
          <w:szCs w:val="32"/>
        </w:rPr>
        <w:t>全年出生人口4万人，出生率为11.5‰；死亡人口2.43万人，死亡率为7‰；自然增长率为4.5‰。</w:t>
      </w:r>
    </w:p>
    <w:p w:rsidR="005945D0" w:rsidRDefault="005945D0" w:rsidP="00A27F1B">
      <w:pPr>
        <w:jc w:val="center"/>
      </w:pPr>
      <w:r>
        <w:rPr>
          <w:noProof/>
        </w:rPr>
        <w:lastRenderedPageBreak/>
        <w:drawing>
          <wp:inline distT="0" distB="0" distL="0" distR="0">
            <wp:extent cx="45720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7F1B" w:rsidRPr="009D61DE" w:rsidRDefault="00A27F1B" w:rsidP="00A27F1B">
      <w:pPr>
        <w:ind w:firstLineChars="200" w:firstLine="640"/>
        <w:rPr>
          <w:rFonts w:ascii="仿宋" w:eastAsia="仿宋" w:hAnsi="仿宋"/>
          <w:sz w:val="32"/>
          <w:szCs w:val="32"/>
        </w:rPr>
      </w:pPr>
      <w:r w:rsidRPr="009D61DE">
        <w:rPr>
          <w:rFonts w:ascii="仿宋" w:eastAsia="仿宋" w:hAnsi="仿宋" w:hint="eastAsia"/>
          <w:sz w:val="32"/>
          <w:szCs w:val="32"/>
        </w:rPr>
        <w:t>全年</w:t>
      </w:r>
      <w:r w:rsidR="00BB4392">
        <w:rPr>
          <w:rFonts w:ascii="仿宋" w:eastAsia="仿宋" w:hAnsi="仿宋" w:hint="eastAsia"/>
          <w:sz w:val="32"/>
          <w:szCs w:val="32"/>
        </w:rPr>
        <w:t>全市</w:t>
      </w:r>
      <w:r w:rsidRPr="009D61DE">
        <w:rPr>
          <w:rFonts w:ascii="仿宋" w:eastAsia="仿宋" w:hAnsi="仿宋" w:hint="eastAsia"/>
          <w:sz w:val="32"/>
          <w:szCs w:val="32"/>
        </w:rPr>
        <w:t>居民消费价格比上年上涨</w:t>
      </w:r>
      <w:r w:rsidRPr="009D61DE">
        <w:rPr>
          <w:rFonts w:ascii="仿宋" w:eastAsia="仿宋" w:hAnsi="仿宋"/>
          <w:sz w:val="32"/>
          <w:szCs w:val="32"/>
        </w:rPr>
        <w:t>3.1%</w:t>
      </w:r>
      <w:r w:rsidRPr="009D61DE">
        <w:rPr>
          <w:rFonts w:ascii="仿宋" w:eastAsia="仿宋" w:hAnsi="仿宋" w:hint="eastAsia"/>
          <w:sz w:val="32"/>
          <w:szCs w:val="32"/>
        </w:rPr>
        <w:t>。分类别看，食品烟酒价格上涨</w:t>
      </w:r>
      <w:r w:rsidRPr="009D61DE">
        <w:rPr>
          <w:rFonts w:ascii="仿宋" w:eastAsia="仿宋" w:hAnsi="仿宋"/>
          <w:sz w:val="32"/>
          <w:szCs w:val="32"/>
        </w:rPr>
        <w:t>6.4%</w:t>
      </w:r>
      <w:r w:rsidRPr="009D61DE">
        <w:rPr>
          <w:rFonts w:ascii="仿宋" w:eastAsia="仿宋" w:hAnsi="仿宋" w:hint="eastAsia"/>
          <w:sz w:val="32"/>
          <w:szCs w:val="32"/>
        </w:rPr>
        <w:t>，衣着上涨</w:t>
      </w:r>
      <w:r w:rsidRPr="009D61DE">
        <w:rPr>
          <w:rFonts w:ascii="仿宋" w:eastAsia="仿宋" w:hAnsi="仿宋"/>
          <w:sz w:val="32"/>
          <w:szCs w:val="32"/>
        </w:rPr>
        <w:t>0.7%</w:t>
      </w:r>
      <w:r w:rsidRPr="009D61DE">
        <w:rPr>
          <w:rFonts w:ascii="仿宋" w:eastAsia="仿宋" w:hAnsi="仿宋" w:hint="eastAsia"/>
          <w:sz w:val="32"/>
          <w:szCs w:val="32"/>
        </w:rPr>
        <w:t>，居住上涨</w:t>
      </w:r>
      <w:r w:rsidRPr="009D61DE">
        <w:rPr>
          <w:rFonts w:ascii="仿宋" w:eastAsia="仿宋" w:hAnsi="仿宋"/>
          <w:sz w:val="32"/>
          <w:szCs w:val="32"/>
        </w:rPr>
        <w:t>2.3%</w:t>
      </w:r>
      <w:r w:rsidRPr="009D61DE">
        <w:rPr>
          <w:rFonts w:ascii="仿宋" w:eastAsia="仿宋" w:hAnsi="仿宋" w:hint="eastAsia"/>
          <w:sz w:val="32"/>
          <w:szCs w:val="32"/>
        </w:rPr>
        <w:t>，生活用品及服务上涨</w:t>
      </w:r>
      <w:r w:rsidRPr="009D61DE">
        <w:rPr>
          <w:rFonts w:ascii="仿宋" w:eastAsia="仿宋" w:hAnsi="仿宋"/>
          <w:sz w:val="32"/>
          <w:szCs w:val="32"/>
        </w:rPr>
        <w:t>0.3%</w:t>
      </w:r>
      <w:r w:rsidRPr="009D61DE">
        <w:rPr>
          <w:rFonts w:ascii="仿宋" w:eastAsia="仿宋" w:hAnsi="仿宋" w:hint="eastAsia"/>
          <w:sz w:val="32"/>
          <w:szCs w:val="32"/>
        </w:rPr>
        <w:t>，交通和通信下降</w:t>
      </w:r>
      <w:r w:rsidRPr="009D61DE">
        <w:rPr>
          <w:rFonts w:ascii="仿宋" w:eastAsia="仿宋" w:hAnsi="仿宋"/>
          <w:sz w:val="32"/>
          <w:szCs w:val="32"/>
        </w:rPr>
        <w:t>0.3%</w:t>
      </w:r>
      <w:r w:rsidRPr="009D61DE">
        <w:rPr>
          <w:rFonts w:ascii="仿宋" w:eastAsia="仿宋" w:hAnsi="仿宋" w:hint="eastAsia"/>
          <w:sz w:val="32"/>
          <w:szCs w:val="32"/>
        </w:rPr>
        <w:t>，教育文化和娱乐上涨</w:t>
      </w:r>
      <w:r w:rsidRPr="009D61DE">
        <w:rPr>
          <w:rFonts w:ascii="仿宋" w:eastAsia="仿宋" w:hAnsi="仿宋"/>
          <w:sz w:val="32"/>
          <w:szCs w:val="32"/>
        </w:rPr>
        <w:t>1.2%</w:t>
      </w:r>
      <w:r w:rsidRPr="009D61DE">
        <w:rPr>
          <w:rFonts w:ascii="仿宋" w:eastAsia="仿宋" w:hAnsi="仿宋" w:hint="eastAsia"/>
          <w:sz w:val="32"/>
          <w:szCs w:val="32"/>
        </w:rPr>
        <w:t>，医疗保健上涨</w:t>
      </w:r>
      <w:r w:rsidRPr="009D61DE">
        <w:rPr>
          <w:rFonts w:ascii="仿宋" w:eastAsia="仿宋" w:hAnsi="仿宋"/>
          <w:sz w:val="32"/>
          <w:szCs w:val="32"/>
        </w:rPr>
        <w:t>5.6%</w:t>
      </w:r>
      <w:r w:rsidRPr="009D61DE">
        <w:rPr>
          <w:rFonts w:ascii="仿宋" w:eastAsia="仿宋" w:hAnsi="仿宋" w:hint="eastAsia"/>
          <w:sz w:val="32"/>
          <w:szCs w:val="32"/>
        </w:rPr>
        <w:t>，其他用品和服务上涨</w:t>
      </w:r>
      <w:r w:rsidRPr="009D61DE">
        <w:rPr>
          <w:rFonts w:ascii="仿宋" w:eastAsia="仿宋" w:hAnsi="仿宋"/>
          <w:sz w:val="32"/>
          <w:szCs w:val="32"/>
        </w:rPr>
        <w:t>2.8%</w:t>
      </w:r>
      <w:r w:rsidRPr="009D61DE">
        <w:rPr>
          <w:rFonts w:ascii="仿宋" w:eastAsia="仿宋" w:hAnsi="仿宋" w:hint="eastAsia"/>
          <w:sz w:val="32"/>
          <w:szCs w:val="32"/>
        </w:rPr>
        <w:t>。在食品烟酒价格中，粮食价格上涨</w:t>
      </w:r>
      <w:r w:rsidRPr="009D61DE">
        <w:rPr>
          <w:rFonts w:ascii="仿宋" w:eastAsia="仿宋" w:hAnsi="仿宋"/>
          <w:sz w:val="32"/>
          <w:szCs w:val="32"/>
        </w:rPr>
        <w:t>8.3%</w:t>
      </w:r>
      <w:r w:rsidRPr="009D61DE">
        <w:rPr>
          <w:rFonts w:ascii="仿宋" w:eastAsia="仿宋" w:hAnsi="仿宋" w:hint="eastAsia"/>
          <w:sz w:val="32"/>
          <w:szCs w:val="32"/>
        </w:rPr>
        <w:t>，猪肉价格上涨</w:t>
      </w:r>
      <w:r w:rsidRPr="009D61DE">
        <w:rPr>
          <w:rFonts w:ascii="仿宋" w:eastAsia="仿宋" w:hAnsi="仿宋"/>
          <w:sz w:val="32"/>
          <w:szCs w:val="32"/>
        </w:rPr>
        <w:t>35.9%</w:t>
      </w:r>
      <w:r w:rsidRPr="009D61DE">
        <w:rPr>
          <w:rFonts w:ascii="仿宋" w:eastAsia="仿宋" w:hAnsi="仿宋" w:hint="eastAsia"/>
          <w:sz w:val="32"/>
          <w:szCs w:val="32"/>
        </w:rPr>
        <w:t>。</w:t>
      </w:r>
    </w:p>
    <w:p w:rsidR="005945D0" w:rsidRPr="00A27F1B" w:rsidRDefault="00770A58" w:rsidP="00770A58">
      <w:pPr>
        <w:jc w:val="center"/>
      </w:pPr>
      <w:r>
        <w:rPr>
          <w:noProof/>
        </w:rPr>
        <w:drawing>
          <wp:inline distT="0" distB="0" distL="0" distR="0">
            <wp:extent cx="4640580" cy="3208020"/>
            <wp:effectExtent l="0" t="0" r="762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240D" w:rsidRDefault="00D6240D" w:rsidP="00083C8A">
      <w:pPr>
        <w:widowControl/>
        <w:rPr>
          <w:rFonts w:ascii="黑体" w:eastAsia="黑体" w:hAnsi="黑体" w:cs="宋体"/>
          <w:b/>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1157"/>
        <w:gridCol w:w="1028"/>
      </w:tblGrid>
      <w:tr w:rsidR="009C24DD" w:rsidTr="00945B51">
        <w:trPr>
          <w:trHeight w:val="430"/>
          <w:jc w:val="center"/>
        </w:trPr>
        <w:tc>
          <w:tcPr>
            <w:tcW w:w="5852" w:type="dxa"/>
            <w:gridSpan w:val="3"/>
            <w:tcBorders>
              <w:top w:val="nil"/>
              <w:left w:val="nil"/>
              <w:right w:val="nil"/>
            </w:tcBorders>
            <w:vAlign w:val="center"/>
          </w:tcPr>
          <w:p w:rsidR="009C24DD" w:rsidRPr="009C24DD" w:rsidRDefault="009C24DD" w:rsidP="006031B5">
            <w:pPr>
              <w:spacing w:line="440" w:lineRule="exact"/>
              <w:ind w:left="-3"/>
              <w:jc w:val="center"/>
              <w:rPr>
                <w:rFonts w:asciiTheme="majorEastAsia" w:eastAsiaTheme="majorEastAsia" w:hAnsiTheme="majorEastAsia"/>
                <w:b/>
                <w:bCs/>
                <w:sz w:val="24"/>
                <w:szCs w:val="24"/>
              </w:rPr>
            </w:pPr>
            <w:r w:rsidRPr="009C24DD">
              <w:rPr>
                <w:rFonts w:asciiTheme="majorEastAsia" w:eastAsiaTheme="majorEastAsia" w:hAnsiTheme="majorEastAsia" w:hint="eastAsia"/>
                <w:b/>
                <w:bCs/>
                <w:sz w:val="24"/>
                <w:szCs w:val="24"/>
              </w:rPr>
              <w:lastRenderedPageBreak/>
              <w:t>表1 2019年</w:t>
            </w:r>
            <w:r w:rsidRPr="009C24DD">
              <w:rPr>
                <w:rFonts w:asciiTheme="majorEastAsia" w:eastAsiaTheme="majorEastAsia" w:hAnsiTheme="majorEastAsia"/>
                <w:b/>
                <w:bCs/>
                <w:sz w:val="24"/>
                <w:szCs w:val="24"/>
              </w:rPr>
              <w:t>居民消费价格比上年涨跌幅度</w:t>
            </w:r>
          </w:p>
        </w:tc>
      </w:tr>
      <w:tr w:rsidR="009C24DD" w:rsidTr="00945B51">
        <w:trPr>
          <w:trHeight w:val="848"/>
          <w:jc w:val="center"/>
        </w:trPr>
        <w:tc>
          <w:tcPr>
            <w:tcW w:w="3667" w:type="dxa"/>
            <w:tcBorders>
              <w:left w:val="nil"/>
              <w:bottom w:val="single" w:sz="4" w:space="0" w:color="auto"/>
            </w:tcBorders>
            <w:vAlign w:val="center"/>
          </w:tcPr>
          <w:p w:rsidR="009C24DD" w:rsidRDefault="009C24DD" w:rsidP="009C24DD">
            <w:pPr>
              <w:spacing w:line="440" w:lineRule="exact"/>
              <w:ind w:leftChars="400" w:left="840"/>
              <w:rPr>
                <w:rFonts w:ascii="宋体" w:hAnsi="宋体"/>
                <w:b/>
                <w:bCs/>
                <w:sz w:val="24"/>
              </w:rPr>
            </w:pPr>
            <w:r>
              <w:rPr>
                <w:rFonts w:ascii="宋体" w:hAnsi="宋体" w:hint="eastAsia"/>
                <w:b/>
                <w:bCs/>
                <w:sz w:val="24"/>
              </w:rPr>
              <w:t>指 标</w:t>
            </w:r>
          </w:p>
        </w:tc>
        <w:tc>
          <w:tcPr>
            <w:tcW w:w="1157" w:type="dxa"/>
            <w:tcBorders>
              <w:bottom w:val="single" w:sz="4" w:space="0" w:color="auto"/>
            </w:tcBorders>
          </w:tcPr>
          <w:p w:rsidR="009C24DD" w:rsidRDefault="009C24DD" w:rsidP="006031B5">
            <w:pPr>
              <w:spacing w:line="440" w:lineRule="exact"/>
              <w:ind w:left="-3"/>
              <w:jc w:val="center"/>
              <w:rPr>
                <w:rFonts w:ascii="宋体" w:eastAsia="宋体" w:hAnsi="宋体"/>
                <w:b/>
                <w:bCs/>
                <w:sz w:val="24"/>
              </w:rPr>
            </w:pPr>
            <w:r>
              <w:rPr>
                <w:rFonts w:ascii="宋体" w:hAnsi="宋体" w:hint="eastAsia"/>
                <w:b/>
                <w:bCs/>
                <w:sz w:val="24"/>
              </w:rPr>
              <w:t>上年同月=100</w:t>
            </w:r>
          </w:p>
        </w:tc>
        <w:tc>
          <w:tcPr>
            <w:tcW w:w="1027" w:type="dxa"/>
            <w:tcBorders>
              <w:bottom w:val="single" w:sz="4" w:space="0" w:color="auto"/>
              <w:right w:val="nil"/>
            </w:tcBorders>
          </w:tcPr>
          <w:p w:rsidR="009C24DD" w:rsidRDefault="009C24DD" w:rsidP="006031B5">
            <w:pPr>
              <w:spacing w:line="440" w:lineRule="exact"/>
              <w:ind w:left="-3"/>
              <w:jc w:val="center"/>
              <w:rPr>
                <w:rFonts w:ascii="宋体" w:eastAsia="宋体" w:hAnsi="宋体"/>
                <w:b/>
                <w:bCs/>
                <w:sz w:val="24"/>
              </w:rPr>
            </w:pPr>
            <w:r>
              <w:rPr>
                <w:rFonts w:ascii="宋体" w:hAnsi="宋体" w:hint="eastAsia"/>
                <w:b/>
                <w:bCs/>
                <w:sz w:val="24"/>
              </w:rPr>
              <w:t>上年同期=100</w:t>
            </w:r>
          </w:p>
        </w:tc>
      </w:tr>
      <w:tr w:rsidR="009C24DD" w:rsidTr="00945B51">
        <w:trPr>
          <w:trHeight w:val="418"/>
          <w:jc w:val="center"/>
        </w:trPr>
        <w:tc>
          <w:tcPr>
            <w:tcW w:w="3667" w:type="dxa"/>
            <w:tcBorders>
              <w:left w:val="nil"/>
              <w:bottom w:val="nil"/>
            </w:tcBorders>
            <w:vAlign w:val="center"/>
          </w:tcPr>
          <w:p w:rsidR="009C24DD" w:rsidRDefault="009C24DD" w:rsidP="006031B5">
            <w:pPr>
              <w:spacing w:line="440" w:lineRule="exact"/>
              <w:ind w:left="-3"/>
              <w:rPr>
                <w:rFonts w:ascii="宋体" w:hAnsi="宋体"/>
                <w:b/>
                <w:bCs/>
                <w:sz w:val="24"/>
              </w:rPr>
            </w:pPr>
            <w:r>
              <w:rPr>
                <w:rFonts w:ascii="宋体" w:hAnsi="宋体" w:hint="eastAsia"/>
                <w:b/>
                <w:bCs/>
                <w:sz w:val="24"/>
              </w:rPr>
              <w:t>居民消费价格总指数</w:t>
            </w:r>
          </w:p>
        </w:tc>
        <w:tc>
          <w:tcPr>
            <w:tcW w:w="1157" w:type="dxa"/>
            <w:tcBorders>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104.0</w:t>
            </w:r>
          </w:p>
        </w:tc>
        <w:tc>
          <w:tcPr>
            <w:tcW w:w="1027" w:type="dxa"/>
            <w:tcBorders>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103.1</w:t>
            </w:r>
          </w:p>
        </w:tc>
      </w:tr>
      <w:tr w:rsidR="009C24DD" w:rsidTr="00945B51">
        <w:trPr>
          <w:trHeight w:val="430"/>
          <w:jc w:val="center"/>
        </w:trPr>
        <w:tc>
          <w:tcPr>
            <w:tcW w:w="3667" w:type="dxa"/>
            <w:tcBorders>
              <w:top w:val="nil"/>
              <w:left w:val="nil"/>
              <w:bottom w:val="nil"/>
            </w:tcBorders>
            <w:vAlign w:val="center"/>
          </w:tcPr>
          <w:p w:rsidR="009C24DD" w:rsidRDefault="009C24DD" w:rsidP="006031B5">
            <w:pPr>
              <w:spacing w:line="440" w:lineRule="exact"/>
              <w:ind w:left="-3" w:firstLineChars="200" w:firstLine="480"/>
              <w:rPr>
                <w:rFonts w:ascii="宋体" w:hAnsi="宋体"/>
                <w:sz w:val="24"/>
              </w:rPr>
            </w:pPr>
            <w:r>
              <w:rPr>
                <w:rFonts w:ascii="宋体" w:hAnsi="宋体" w:hint="eastAsia"/>
                <w:sz w:val="24"/>
              </w:rPr>
              <w:t>其中：食品烟酒</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109.9</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106.4</w:t>
            </w:r>
          </w:p>
        </w:tc>
      </w:tr>
      <w:tr w:rsidR="009C24DD" w:rsidTr="00945B51">
        <w:trPr>
          <w:trHeight w:val="430"/>
          <w:jc w:val="center"/>
        </w:trPr>
        <w:tc>
          <w:tcPr>
            <w:tcW w:w="3667" w:type="dxa"/>
            <w:tcBorders>
              <w:top w:val="nil"/>
              <w:left w:val="nil"/>
              <w:bottom w:val="nil"/>
            </w:tcBorders>
            <w:vAlign w:val="center"/>
          </w:tcPr>
          <w:p w:rsidR="009C24DD" w:rsidRDefault="009C24DD" w:rsidP="006031B5">
            <w:pPr>
              <w:spacing w:line="440" w:lineRule="exact"/>
              <w:ind w:left="-3" w:firstLineChars="200" w:firstLine="480"/>
              <w:rPr>
                <w:rFonts w:ascii="宋体" w:eastAsia="宋体" w:hAnsi="宋体"/>
                <w:sz w:val="24"/>
              </w:rPr>
            </w:pPr>
            <w:r>
              <w:rPr>
                <w:rFonts w:ascii="宋体" w:hAnsi="宋体" w:hint="eastAsia"/>
                <w:sz w:val="24"/>
              </w:rPr>
              <w:t xml:space="preserve">      其中：食品</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kern w:val="0"/>
                <w:sz w:val="24"/>
                <w:szCs w:val="24"/>
              </w:rPr>
            </w:pPr>
            <w:r>
              <w:rPr>
                <w:rFonts w:ascii="宋体" w:eastAsia="宋体" w:hAnsi="宋体" w:cs="宋体" w:hint="eastAsia"/>
                <w:color w:val="000000"/>
                <w:kern w:val="0"/>
                <w:sz w:val="24"/>
                <w:szCs w:val="24"/>
              </w:rPr>
              <w:t>115.8</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kern w:val="0"/>
                <w:sz w:val="24"/>
                <w:szCs w:val="24"/>
              </w:rPr>
            </w:pPr>
            <w:r>
              <w:rPr>
                <w:rFonts w:ascii="宋体" w:eastAsia="宋体" w:hAnsi="宋体" w:cs="宋体" w:hint="eastAsia"/>
                <w:color w:val="000000"/>
                <w:kern w:val="0"/>
                <w:sz w:val="24"/>
                <w:szCs w:val="24"/>
              </w:rPr>
              <w:t>108.3</w:t>
            </w:r>
          </w:p>
        </w:tc>
      </w:tr>
      <w:tr w:rsidR="009C24DD" w:rsidTr="00945B51">
        <w:trPr>
          <w:trHeight w:val="418"/>
          <w:jc w:val="center"/>
        </w:trPr>
        <w:tc>
          <w:tcPr>
            <w:tcW w:w="3667" w:type="dxa"/>
            <w:tcBorders>
              <w:top w:val="nil"/>
              <w:left w:val="nil"/>
              <w:bottom w:val="nil"/>
            </w:tcBorders>
            <w:vAlign w:val="center"/>
          </w:tcPr>
          <w:p w:rsidR="009C24DD" w:rsidRDefault="009C24DD" w:rsidP="006031B5">
            <w:pPr>
              <w:spacing w:line="440" w:lineRule="exact"/>
              <w:ind w:left="-3" w:firstLineChars="200" w:firstLine="480"/>
              <w:rPr>
                <w:rFonts w:ascii="宋体" w:eastAsia="宋体" w:hAnsi="宋体"/>
                <w:sz w:val="24"/>
              </w:rPr>
            </w:pPr>
            <w:r>
              <w:rPr>
                <w:rFonts w:ascii="宋体" w:hAnsi="宋体" w:hint="eastAsia"/>
                <w:sz w:val="24"/>
              </w:rPr>
              <w:t>猪肉</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176.5</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135.9</w:t>
            </w:r>
          </w:p>
        </w:tc>
      </w:tr>
      <w:tr w:rsidR="009C24DD" w:rsidTr="00945B51">
        <w:trPr>
          <w:trHeight w:val="107"/>
          <w:jc w:val="center"/>
        </w:trPr>
        <w:tc>
          <w:tcPr>
            <w:tcW w:w="3667" w:type="dxa"/>
            <w:tcBorders>
              <w:top w:val="nil"/>
              <w:left w:val="nil"/>
              <w:bottom w:val="nil"/>
            </w:tcBorders>
            <w:vAlign w:val="center"/>
          </w:tcPr>
          <w:p w:rsidR="009C24DD" w:rsidRDefault="009C24DD" w:rsidP="006031B5">
            <w:pPr>
              <w:spacing w:line="440" w:lineRule="exact"/>
              <w:ind w:left="-3" w:firstLineChars="500" w:firstLine="1200"/>
              <w:rPr>
                <w:rFonts w:ascii="宋体" w:hAnsi="宋体"/>
                <w:sz w:val="24"/>
              </w:rPr>
            </w:pPr>
            <w:r>
              <w:rPr>
                <w:rFonts w:ascii="宋体" w:hAnsi="宋体" w:hint="eastAsia"/>
                <w:sz w:val="24"/>
              </w:rPr>
              <w:t>衣着</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100.2</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100.7</w:t>
            </w:r>
          </w:p>
        </w:tc>
      </w:tr>
      <w:tr w:rsidR="009C24DD" w:rsidTr="00945B51">
        <w:trPr>
          <w:trHeight w:val="104"/>
          <w:jc w:val="center"/>
        </w:trPr>
        <w:tc>
          <w:tcPr>
            <w:tcW w:w="3667" w:type="dxa"/>
            <w:tcBorders>
              <w:top w:val="nil"/>
              <w:left w:val="nil"/>
              <w:bottom w:val="nil"/>
            </w:tcBorders>
            <w:vAlign w:val="center"/>
          </w:tcPr>
          <w:p w:rsidR="009C24DD" w:rsidRDefault="009C24DD" w:rsidP="006031B5">
            <w:pPr>
              <w:spacing w:line="440" w:lineRule="exact"/>
              <w:ind w:left="-3" w:firstLineChars="500" w:firstLine="1200"/>
              <w:rPr>
                <w:rFonts w:ascii="宋体" w:hAnsi="宋体"/>
                <w:sz w:val="24"/>
              </w:rPr>
            </w:pPr>
            <w:r>
              <w:rPr>
                <w:rFonts w:ascii="宋体" w:hAnsi="宋体" w:hint="eastAsia"/>
                <w:sz w:val="24"/>
              </w:rPr>
              <w:t>居 住</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102.0</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102.3</w:t>
            </w:r>
          </w:p>
        </w:tc>
      </w:tr>
      <w:tr w:rsidR="009C24DD" w:rsidTr="00945B51">
        <w:trPr>
          <w:trHeight w:val="104"/>
          <w:jc w:val="center"/>
        </w:trPr>
        <w:tc>
          <w:tcPr>
            <w:tcW w:w="3667" w:type="dxa"/>
            <w:tcBorders>
              <w:top w:val="nil"/>
              <w:left w:val="nil"/>
              <w:bottom w:val="nil"/>
            </w:tcBorders>
            <w:vAlign w:val="center"/>
          </w:tcPr>
          <w:p w:rsidR="009C24DD" w:rsidRDefault="009C24DD" w:rsidP="006031B5">
            <w:pPr>
              <w:spacing w:line="440" w:lineRule="exact"/>
              <w:ind w:left="-3" w:firstLineChars="500" w:firstLine="1200"/>
              <w:rPr>
                <w:rFonts w:ascii="宋体" w:hAnsi="宋体"/>
                <w:sz w:val="24"/>
              </w:rPr>
            </w:pPr>
            <w:r>
              <w:rPr>
                <w:rFonts w:ascii="宋体" w:hAnsi="宋体" w:hint="eastAsia"/>
                <w:sz w:val="24"/>
              </w:rPr>
              <w:t>生活用品及服务</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101.0</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100.3</w:t>
            </w:r>
          </w:p>
        </w:tc>
      </w:tr>
      <w:tr w:rsidR="009C24DD" w:rsidTr="00945B51">
        <w:trPr>
          <w:trHeight w:val="430"/>
          <w:jc w:val="center"/>
        </w:trPr>
        <w:tc>
          <w:tcPr>
            <w:tcW w:w="3667" w:type="dxa"/>
            <w:tcBorders>
              <w:top w:val="nil"/>
              <w:left w:val="nil"/>
              <w:bottom w:val="nil"/>
            </w:tcBorders>
            <w:vAlign w:val="center"/>
          </w:tcPr>
          <w:p w:rsidR="009C24DD" w:rsidRDefault="009C24DD" w:rsidP="006031B5">
            <w:pPr>
              <w:spacing w:line="440" w:lineRule="exact"/>
              <w:ind w:left="-3"/>
              <w:rPr>
                <w:rFonts w:ascii="宋体" w:eastAsia="宋体" w:hAnsi="宋体"/>
                <w:sz w:val="24"/>
              </w:rPr>
            </w:pPr>
            <w:r>
              <w:rPr>
                <w:rFonts w:ascii="宋体" w:hAnsi="宋体" w:hint="eastAsia"/>
                <w:sz w:val="24"/>
              </w:rPr>
              <w:t xml:space="preserve">　　　　  交通和通信</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szCs w:val="24"/>
              </w:rPr>
              <w:t>99.7</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99.7</w:t>
            </w:r>
          </w:p>
        </w:tc>
      </w:tr>
      <w:tr w:rsidR="009C24DD" w:rsidTr="00945B51">
        <w:trPr>
          <w:trHeight w:val="211"/>
          <w:jc w:val="center"/>
        </w:trPr>
        <w:tc>
          <w:tcPr>
            <w:tcW w:w="3667" w:type="dxa"/>
            <w:tcBorders>
              <w:top w:val="nil"/>
              <w:left w:val="nil"/>
              <w:bottom w:val="nil"/>
            </w:tcBorders>
            <w:vAlign w:val="center"/>
          </w:tcPr>
          <w:p w:rsidR="009C24DD" w:rsidRDefault="009C24DD" w:rsidP="006031B5">
            <w:pPr>
              <w:spacing w:line="440" w:lineRule="exact"/>
              <w:ind w:left="-3"/>
              <w:rPr>
                <w:rFonts w:ascii="宋体" w:hAnsi="宋体"/>
                <w:sz w:val="24"/>
              </w:rPr>
            </w:pPr>
            <w:r>
              <w:rPr>
                <w:rFonts w:ascii="宋体" w:hAnsi="宋体" w:hint="eastAsia"/>
                <w:sz w:val="24"/>
              </w:rPr>
              <w:t xml:space="preserve">　　　　　教育文化和娱乐</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99.1</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101.2</w:t>
            </w:r>
          </w:p>
        </w:tc>
      </w:tr>
      <w:tr w:rsidR="009C24DD" w:rsidTr="00945B51">
        <w:trPr>
          <w:trHeight w:val="210"/>
          <w:jc w:val="center"/>
        </w:trPr>
        <w:tc>
          <w:tcPr>
            <w:tcW w:w="3667" w:type="dxa"/>
            <w:tcBorders>
              <w:top w:val="nil"/>
              <w:left w:val="nil"/>
              <w:bottom w:val="nil"/>
            </w:tcBorders>
            <w:vAlign w:val="center"/>
          </w:tcPr>
          <w:p w:rsidR="009C24DD" w:rsidRDefault="009C24DD" w:rsidP="006031B5">
            <w:pPr>
              <w:spacing w:line="440" w:lineRule="exact"/>
              <w:ind w:leftChars="-1" w:left="-2" w:firstLineChars="500" w:firstLine="1200"/>
              <w:rPr>
                <w:rFonts w:ascii="宋体" w:hAnsi="宋体"/>
                <w:sz w:val="24"/>
              </w:rPr>
            </w:pPr>
            <w:r>
              <w:rPr>
                <w:rFonts w:ascii="宋体" w:hAnsi="宋体" w:hint="eastAsia"/>
                <w:sz w:val="24"/>
              </w:rPr>
              <w:t>医疗保健</w:t>
            </w:r>
          </w:p>
        </w:tc>
        <w:tc>
          <w:tcPr>
            <w:tcW w:w="1157" w:type="dxa"/>
            <w:tcBorders>
              <w:top w:val="nil"/>
              <w:bottom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107.6</w:t>
            </w:r>
          </w:p>
        </w:tc>
        <w:tc>
          <w:tcPr>
            <w:tcW w:w="1027" w:type="dxa"/>
            <w:tcBorders>
              <w:top w:val="nil"/>
              <w:bottom w:val="nil"/>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105.6</w:t>
            </w:r>
          </w:p>
        </w:tc>
      </w:tr>
      <w:tr w:rsidR="009C24DD" w:rsidTr="00945B51">
        <w:trPr>
          <w:trHeight w:val="211"/>
          <w:jc w:val="center"/>
        </w:trPr>
        <w:tc>
          <w:tcPr>
            <w:tcW w:w="3667" w:type="dxa"/>
            <w:tcBorders>
              <w:top w:val="nil"/>
              <w:left w:val="nil"/>
              <w:bottom w:val="single" w:sz="4" w:space="0" w:color="auto"/>
            </w:tcBorders>
            <w:vAlign w:val="center"/>
          </w:tcPr>
          <w:p w:rsidR="009C24DD" w:rsidRDefault="009C24DD" w:rsidP="006031B5">
            <w:pPr>
              <w:spacing w:line="440" w:lineRule="exact"/>
              <w:ind w:left="-3"/>
              <w:rPr>
                <w:rFonts w:ascii="宋体" w:hAnsi="宋体"/>
                <w:sz w:val="24"/>
              </w:rPr>
            </w:pPr>
            <w:r>
              <w:rPr>
                <w:rFonts w:ascii="宋体" w:hAnsi="宋体" w:hint="eastAsia"/>
                <w:sz w:val="24"/>
              </w:rPr>
              <w:t xml:space="preserve">　　　　　其他用品和服务</w:t>
            </w:r>
          </w:p>
        </w:tc>
        <w:tc>
          <w:tcPr>
            <w:tcW w:w="1157" w:type="dxa"/>
            <w:tcBorders>
              <w:top w:val="nil"/>
              <w:bottom w:val="single" w:sz="4" w:space="0" w:color="auto"/>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103.7</w:t>
            </w:r>
          </w:p>
        </w:tc>
        <w:tc>
          <w:tcPr>
            <w:tcW w:w="1027" w:type="dxa"/>
            <w:tcBorders>
              <w:top w:val="nil"/>
              <w:bottom w:val="single" w:sz="4" w:space="0" w:color="auto"/>
              <w:right w:val="nil"/>
            </w:tcBorders>
            <w:vAlign w:val="center"/>
          </w:tcPr>
          <w:p w:rsidR="009C24DD" w:rsidRDefault="009C24DD" w:rsidP="006031B5">
            <w:pPr>
              <w:widowControl/>
              <w:jc w:val="center"/>
              <w:textAlignment w:val="center"/>
              <w:rPr>
                <w:rFonts w:ascii="宋体" w:eastAsia="宋体" w:hAnsi="宋体" w:cs="宋体"/>
                <w:sz w:val="24"/>
              </w:rPr>
            </w:pPr>
            <w:r>
              <w:rPr>
                <w:rFonts w:ascii="宋体" w:eastAsia="宋体" w:hAnsi="宋体" w:cs="宋体" w:hint="eastAsia"/>
                <w:color w:val="000000"/>
                <w:kern w:val="0"/>
                <w:sz w:val="24"/>
                <w:szCs w:val="24"/>
              </w:rPr>
              <w:t>102.8</w:t>
            </w:r>
          </w:p>
        </w:tc>
      </w:tr>
    </w:tbl>
    <w:p w:rsidR="00153465" w:rsidRDefault="00153465" w:rsidP="002D2C0F">
      <w:pPr>
        <w:widowControl/>
        <w:spacing w:beforeLines="50" w:before="156"/>
        <w:ind w:firstLineChars="200" w:firstLine="643"/>
        <w:rPr>
          <w:rFonts w:ascii="黑体" w:eastAsia="黑体" w:hAnsi="黑体" w:cs="宋体"/>
          <w:b/>
          <w:kern w:val="0"/>
          <w:sz w:val="32"/>
          <w:szCs w:val="32"/>
        </w:rPr>
      </w:pPr>
      <w:r w:rsidRPr="00266041">
        <w:rPr>
          <w:rFonts w:ascii="黑体" w:eastAsia="黑体" w:hAnsi="黑体" w:cs="宋体" w:hint="eastAsia"/>
          <w:b/>
          <w:kern w:val="0"/>
          <w:sz w:val="32"/>
          <w:szCs w:val="32"/>
        </w:rPr>
        <w:t xml:space="preserve">二、农业 </w:t>
      </w:r>
    </w:p>
    <w:p w:rsidR="00153465" w:rsidRDefault="00153465" w:rsidP="00153465">
      <w:pPr>
        <w:widowControl/>
        <w:ind w:firstLineChars="200" w:firstLine="640"/>
        <w:rPr>
          <w:rFonts w:ascii="仿宋" w:eastAsia="仿宋" w:hAnsi="仿宋"/>
          <w:sz w:val="32"/>
          <w:szCs w:val="32"/>
        </w:rPr>
      </w:pPr>
      <w:r w:rsidRPr="0045538C">
        <w:rPr>
          <w:rFonts w:ascii="仿宋" w:eastAsia="仿宋" w:hAnsi="仿宋" w:hint="eastAsia"/>
          <w:sz w:val="32"/>
          <w:szCs w:val="32"/>
        </w:rPr>
        <w:t>全年</w:t>
      </w:r>
      <w:r w:rsidR="00BB4392">
        <w:rPr>
          <w:rFonts w:ascii="仿宋" w:eastAsia="仿宋" w:hAnsi="仿宋" w:hint="eastAsia"/>
          <w:sz w:val="32"/>
          <w:szCs w:val="32"/>
        </w:rPr>
        <w:t>全市</w:t>
      </w:r>
      <w:r w:rsidRPr="0045538C">
        <w:rPr>
          <w:rFonts w:ascii="仿宋" w:eastAsia="仿宋" w:hAnsi="仿宋" w:hint="eastAsia"/>
          <w:sz w:val="32"/>
          <w:szCs w:val="32"/>
        </w:rPr>
        <w:t>农林牧渔及其服务业增加值175.03亿元，按</w:t>
      </w:r>
      <w:r w:rsidRPr="0045538C">
        <w:rPr>
          <w:rFonts w:ascii="仿宋" w:eastAsia="仿宋" w:hAnsi="仿宋"/>
          <w:sz w:val="32"/>
          <w:szCs w:val="32"/>
        </w:rPr>
        <w:t>可比价格计算，</w:t>
      </w:r>
      <w:r w:rsidRPr="0045538C">
        <w:rPr>
          <w:rFonts w:ascii="仿宋" w:eastAsia="仿宋" w:hAnsi="仿宋" w:hint="eastAsia"/>
          <w:sz w:val="32"/>
          <w:szCs w:val="32"/>
        </w:rPr>
        <w:t>比上</w:t>
      </w:r>
      <w:r w:rsidRPr="0045538C">
        <w:rPr>
          <w:rFonts w:ascii="仿宋" w:eastAsia="仿宋" w:hAnsi="仿宋"/>
          <w:sz w:val="32"/>
          <w:szCs w:val="32"/>
        </w:rPr>
        <w:t>年</w:t>
      </w:r>
      <w:r w:rsidRPr="0045538C">
        <w:rPr>
          <w:rFonts w:ascii="仿宋" w:eastAsia="仿宋" w:hAnsi="仿宋" w:hint="eastAsia"/>
          <w:sz w:val="32"/>
          <w:szCs w:val="32"/>
        </w:rPr>
        <w:t>增长3.6%。</w:t>
      </w:r>
    </w:p>
    <w:p w:rsidR="00A12695" w:rsidRPr="0045538C" w:rsidRDefault="00A12695" w:rsidP="00A12695">
      <w:pPr>
        <w:widowControl/>
        <w:ind w:firstLineChars="200" w:firstLine="420"/>
        <w:jc w:val="center"/>
        <w:rPr>
          <w:rFonts w:ascii="仿宋" w:eastAsia="仿宋" w:hAnsi="仿宋"/>
          <w:sz w:val="32"/>
          <w:szCs w:val="32"/>
        </w:rPr>
      </w:pPr>
      <w:r>
        <w:rPr>
          <w:noProof/>
        </w:rPr>
        <w:drawing>
          <wp:inline distT="0" distB="0" distL="0" distR="0">
            <wp:extent cx="4572000" cy="27432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3465" w:rsidRDefault="00153465" w:rsidP="00153465">
      <w:pPr>
        <w:ind w:firstLineChars="200" w:firstLine="640"/>
        <w:rPr>
          <w:rFonts w:ascii="仿宋" w:eastAsia="仿宋" w:hAnsi="仿宋"/>
          <w:color w:val="FF0000"/>
          <w:sz w:val="32"/>
          <w:szCs w:val="32"/>
        </w:rPr>
      </w:pPr>
      <w:r w:rsidRPr="009D61DE">
        <w:rPr>
          <w:rFonts w:ascii="仿宋" w:eastAsia="仿宋" w:hAnsi="仿宋" w:hint="eastAsia"/>
          <w:sz w:val="32"/>
          <w:szCs w:val="32"/>
        </w:rPr>
        <w:t>全年</w:t>
      </w:r>
      <w:r w:rsidR="00BB4392">
        <w:rPr>
          <w:rFonts w:ascii="仿宋" w:eastAsia="仿宋" w:hAnsi="仿宋" w:hint="eastAsia"/>
          <w:sz w:val="32"/>
          <w:szCs w:val="32"/>
        </w:rPr>
        <w:t>全市</w:t>
      </w:r>
      <w:r w:rsidRPr="009D61DE">
        <w:rPr>
          <w:rFonts w:ascii="仿宋" w:eastAsia="仿宋" w:hAnsi="仿宋" w:hint="eastAsia"/>
          <w:sz w:val="32"/>
          <w:szCs w:val="32"/>
        </w:rPr>
        <w:t>粮食种植面积</w:t>
      </w:r>
      <w:r w:rsidRPr="009D61DE">
        <w:rPr>
          <w:rFonts w:ascii="仿宋" w:eastAsia="仿宋" w:hAnsi="仿宋"/>
          <w:sz w:val="32"/>
          <w:szCs w:val="32"/>
        </w:rPr>
        <w:t>314.71</w:t>
      </w:r>
      <w:r w:rsidRPr="009D61DE">
        <w:rPr>
          <w:rFonts w:ascii="仿宋" w:eastAsia="仿宋" w:hAnsi="仿宋" w:hint="eastAsia"/>
          <w:sz w:val="32"/>
          <w:szCs w:val="32"/>
        </w:rPr>
        <w:t>万亩，比上年减少</w:t>
      </w:r>
      <w:r w:rsidRPr="009D61DE">
        <w:rPr>
          <w:rFonts w:ascii="仿宋" w:eastAsia="仿宋" w:hAnsi="仿宋"/>
          <w:sz w:val="32"/>
          <w:szCs w:val="32"/>
        </w:rPr>
        <w:t>13.56</w:t>
      </w:r>
      <w:r w:rsidRPr="009D61DE">
        <w:rPr>
          <w:rFonts w:ascii="仿宋" w:eastAsia="仿宋" w:hAnsi="仿宋" w:hint="eastAsia"/>
          <w:sz w:val="32"/>
          <w:szCs w:val="32"/>
        </w:rPr>
        <w:t>万亩。其中，油菜籽种植面积</w:t>
      </w:r>
      <w:r w:rsidRPr="009D61DE">
        <w:rPr>
          <w:rFonts w:ascii="仿宋" w:eastAsia="仿宋" w:hAnsi="仿宋"/>
          <w:sz w:val="32"/>
          <w:szCs w:val="32"/>
        </w:rPr>
        <w:t>65.73</w:t>
      </w:r>
      <w:r w:rsidRPr="009D61DE">
        <w:rPr>
          <w:rFonts w:ascii="仿宋" w:eastAsia="仿宋" w:hAnsi="仿宋" w:hint="eastAsia"/>
          <w:sz w:val="32"/>
          <w:szCs w:val="32"/>
        </w:rPr>
        <w:t>万亩，增加</w:t>
      </w:r>
      <w:r w:rsidRPr="009D61DE">
        <w:rPr>
          <w:rFonts w:ascii="仿宋" w:eastAsia="仿宋" w:hAnsi="仿宋"/>
          <w:sz w:val="32"/>
          <w:szCs w:val="32"/>
        </w:rPr>
        <w:t>0.12</w:t>
      </w:r>
      <w:r w:rsidRPr="009D61DE">
        <w:rPr>
          <w:rFonts w:ascii="仿宋" w:eastAsia="仿宋" w:hAnsi="仿宋" w:hint="eastAsia"/>
          <w:sz w:val="32"/>
          <w:szCs w:val="32"/>
        </w:rPr>
        <w:t>万亩；</w:t>
      </w:r>
      <w:r w:rsidRPr="009D61DE">
        <w:rPr>
          <w:rFonts w:ascii="仿宋" w:eastAsia="仿宋" w:hAnsi="仿宋" w:hint="eastAsia"/>
          <w:sz w:val="32"/>
          <w:szCs w:val="32"/>
        </w:rPr>
        <w:lastRenderedPageBreak/>
        <w:t>稻谷种植面积</w:t>
      </w:r>
      <w:r w:rsidRPr="009D61DE">
        <w:rPr>
          <w:rFonts w:ascii="仿宋" w:eastAsia="仿宋" w:hAnsi="仿宋"/>
          <w:sz w:val="32"/>
          <w:szCs w:val="32"/>
        </w:rPr>
        <w:t>39.7</w:t>
      </w:r>
      <w:r w:rsidRPr="009D61DE">
        <w:rPr>
          <w:rFonts w:ascii="仿宋" w:eastAsia="仿宋" w:hAnsi="仿宋" w:hint="eastAsia"/>
          <w:sz w:val="32"/>
          <w:szCs w:val="32"/>
        </w:rPr>
        <w:t>万亩，减少</w:t>
      </w:r>
      <w:r w:rsidRPr="009D61DE">
        <w:rPr>
          <w:rFonts w:ascii="仿宋" w:eastAsia="仿宋" w:hAnsi="仿宋"/>
          <w:sz w:val="32"/>
          <w:szCs w:val="32"/>
        </w:rPr>
        <w:t>1.1</w:t>
      </w:r>
      <w:r w:rsidR="00136709">
        <w:rPr>
          <w:rFonts w:ascii="仿宋" w:eastAsia="仿宋" w:hAnsi="仿宋"/>
          <w:sz w:val="32"/>
          <w:szCs w:val="32"/>
        </w:rPr>
        <w:t>0</w:t>
      </w:r>
      <w:r w:rsidRPr="009D61DE">
        <w:rPr>
          <w:rFonts w:ascii="仿宋" w:eastAsia="仿宋" w:hAnsi="仿宋" w:hint="eastAsia"/>
          <w:sz w:val="32"/>
          <w:szCs w:val="32"/>
        </w:rPr>
        <w:t>万亩；玉米种植面积</w:t>
      </w:r>
      <w:r w:rsidRPr="009D61DE">
        <w:rPr>
          <w:rFonts w:ascii="仿宋" w:eastAsia="仿宋" w:hAnsi="仿宋"/>
          <w:sz w:val="32"/>
          <w:szCs w:val="32"/>
        </w:rPr>
        <w:t>104.2</w:t>
      </w:r>
      <w:r w:rsidRPr="009D61DE">
        <w:rPr>
          <w:rFonts w:ascii="仿宋" w:eastAsia="仿宋" w:hAnsi="仿宋" w:hint="eastAsia"/>
          <w:sz w:val="32"/>
          <w:szCs w:val="32"/>
        </w:rPr>
        <w:t>万亩，减少</w:t>
      </w:r>
      <w:r w:rsidR="00136709">
        <w:rPr>
          <w:rFonts w:ascii="仿宋" w:eastAsia="仿宋" w:hAnsi="仿宋"/>
          <w:sz w:val="32"/>
          <w:szCs w:val="32"/>
        </w:rPr>
        <w:t>9.60</w:t>
      </w:r>
      <w:r w:rsidRPr="009D61DE">
        <w:rPr>
          <w:rFonts w:ascii="仿宋" w:eastAsia="仿宋" w:hAnsi="仿宋" w:hint="eastAsia"/>
          <w:sz w:val="32"/>
          <w:szCs w:val="32"/>
        </w:rPr>
        <w:t>万亩。</w:t>
      </w:r>
    </w:p>
    <w:p w:rsidR="00153465" w:rsidRPr="009D61DE" w:rsidRDefault="00153465" w:rsidP="00153465">
      <w:pPr>
        <w:ind w:firstLineChars="200" w:firstLine="640"/>
        <w:rPr>
          <w:rFonts w:ascii="仿宋" w:eastAsia="仿宋" w:hAnsi="仿宋"/>
          <w:sz w:val="32"/>
          <w:szCs w:val="32"/>
        </w:rPr>
      </w:pPr>
      <w:r w:rsidRPr="009D61DE">
        <w:rPr>
          <w:rFonts w:ascii="仿宋" w:eastAsia="仿宋" w:hAnsi="仿宋" w:hint="eastAsia"/>
          <w:sz w:val="32"/>
          <w:szCs w:val="32"/>
        </w:rPr>
        <w:t>全年</w:t>
      </w:r>
      <w:r w:rsidR="00BB4392">
        <w:rPr>
          <w:rFonts w:ascii="仿宋" w:eastAsia="仿宋" w:hAnsi="仿宋" w:hint="eastAsia"/>
          <w:sz w:val="32"/>
          <w:szCs w:val="32"/>
        </w:rPr>
        <w:t>全市</w:t>
      </w:r>
      <w:r w:rsidRPr="009D61DE">
        <w:rPr>
          <w:rFonts w:ascii="仿宋" w:eastAsia="仿宋" w:hAnsi="仿宋" w:hint="eastAsia"/>
          <w:sz w:val="32"/>
          <w:szCs w:val="32"/>
        </w:rPr>
        <w:t>粮食产量</w:t>
      </w:r>
      <w:r w:rsidRPr="009D61DE">
        <w:rPr>
          <w:rFonts w:ascii="仿宋" w:eastAsia="仿宋" w:hAnsi="仿宋"/>
          <w:sz w:val="32"/>
          <w:szCs w:val="32"/>
        </w:rPr>
        <w:t>81.18</w:t>
      </w:r>
      <w:r w:rsidRPr="009D61DE">
        <w:rPr>
          <w:rFonts w:ascii="仿宋" w:eastAsia="仿宋" w:hAnsi="仿宋" w:hint="eastAsia"/>
          <w:sz w:val="32"/>
          <w:szCs w:val="32"/>
        </w:rPr>
        <w:t>万吨，比上年减少</w:t>
      </w:r>
      <w:r w:rsidRPr="009D61DE">
        <w:rPr>
          <w:rFonts w:ascii="仿宋" w:eastAsia="仿宋" w:hAnsi="仿宋"/>
          <w:sz w:val="32"/>
          <w:szCs w:val="32"/>
        </w:rPr>
        <w:t>0.99</w:t>
      </w:r>
      <w:r w:rsidRPr="009D61DE">
        <w:rPr>
          <w:rFonts w:ascii="仿宋" w:eastAsia="仿宋" w:hAnsi="仿宋" w:hint="eastAsia"/>
          <w:sz w:val="32"/>
          <w:szCs w:val="32"/>
        </w:rPr>
        <w:t>万吨,减产1.2%。其中，夏粮产量</w:t>
      </w:r>
      <w:r w:rsidRPr="009D61DE">
        <w:rPr>
          <w:rFonts w:ascii="仿宋" w:eastAsia="仿宋" w:hAnsi="仿宋"/>
          <w:sz w:val="32"/>
          <w:szCs w:val="32"/>
        </w:rPr>
        <w:t>23.95</w:t>
      </w:r>
      <w:r w:rsidRPr="009D61DE">
        <w:rPr>
          <w:rFonts w:ascii="仿宋" w:eastAsia="仿宋" w:hAnsi="仿宋" w:hint="eastAsia"/>
          <w:sz w:val="32"/>
          <w:szCs w:val="32"/>
        </w:rPr>
        <w:t>万吨，增产</w:t>
      </w:r>
      <w:r w:rsidRPr="009D61DE">
        <w:rPr>
          <w:rFonts w:ascii="仿宋" w:eastAsia="仿宋" w:hAnsi="仿宋"/>
          <w:sz w:val="32"/>
          <w:szCs w:val="32"/>
        </w:rPr>
        <w:t>1.8%</w:t>
      </w:r>
      <w:r w:rsidRPr="009D61DE">
        <w:rPr>
          <w:rFonts w:ascii="仿宋" w:eastAsia="仿宋" w:hAnsi="仿宋" w:hint="eastAsia"/>
          <w:sz w:val="32"/>
          <w:szCs w:val="32"/>
        </w:rPr>
        <w:t>；秋粮产量</w:t>
      </w:r>
      <w:r w:rsidRPr="009D61DE">
        <w:rPr>
          <w:rFonts w:ascii="仿宋" w:eastAsia="仿宋" w:hAnsi="仿宋"/>
          <w:sz w:val="32"/>
          <w:szCs w:val="32"/>
        </w:rPr>
        <w:t>57.23</w:t>
      </w:r>
      <w:r w:rsidRPr="009D61DE">
        <w:rPr>
          <w:rFonts w:ascii="仿宋" w:eastAsia="仿宋" w:hAnsi="仿宋" w:hint="eastAsia"/>
          <w:sz w:val="32"/>
          <w:szCs w:val="32"/>
        </w:rPr>
        <w:t>万吨，减</w:t>
      </w:r>
      <w:r w:rsidRPr="009D61DE">
        <w:rPr>
          <w:rFonts w:ascii="仿宋" w:eastAsia="仿宋" w:hAnsi="仿宋"/>
          <w:sz w:val="32"/>
          <w:szCs w:val="32"/>
        </w:rPr>
        <w:t>产</w:t>
      </w:r>
      <w:r w:rsidRPr="009D61DE">
        <w:rPr>
          <w:rFonts w:ascii="仿宋" w:eastAsia="仿宋" w:hAnsi="仿宋" w:hint="eastAsia"/>
          <w:sz w:val="32"/>
          <w:szCs w:val="32"/>
        </w:rPr>
        <w:t>6.1</w:t>
      </w:r>
      <w:r w:rsidRPr="009D61DE">
        <w:rPr>
          <w:rFonts w:ascii="仿宋" w:eastAsia="仿宋" w:hAnsi="仿宋"/>
          <w:sz w:val="32"/>
          <w:szCs w:val="32"/>
        </w:rPr>
        <w:t>%</w:t>
      </w:r>
      <w:r w:rsidRPr="009D61DE">
        <w:rPr>
          <w:rFonts w:ascii="仿宋" w:eastAsia="仿宋" w:hAnsi="仿宋" w:hint="eastAsia"/>
          <w:sz w:val="32"/>
          <w:szCs w:val="32"/>
        </w:rPr>
        <w:t>。其中，稻谷产量</w:t>
      </w:r>
      <w:r w:rsidRPr="009D61DE">
        <w:rPr>
          <w:rFonts w:ascii="仿宋" w:eastAsia="仿宋" w:hAnsi="仿宋"/>
          <w:sz w:val="32"/>
          <w:szCs w:val="32"/>
        </w:rPr>
        <w:t>21.82</w:t>
      </w:r>
      <w:r w:rsidRPr="009D61DE">
        <w:rPr>
          <w:rFonts w:ascii="仿宋" w:eastAsia="仿宋" w:hAnsi="仿宋" w:hint="eastAsia"/>
          <w:sz w:val="32"/>
          <w:szCs w:val="32"/>
        </w:rPr>
        <w:t>万吨，减产</w:t>
      </w:r>
      <w:r w:rsidRPr="009D61DE">
        <w:rPr>
          <w:rFonts w:ascii="仿宋" w:eastAsia="仿宋" w:hAnsi="仿宋"/>
          <w:sz w:val="32"/>
          <w:szCs w:val="32"/>
        </w:rPr>
        <w:t>2.6%</w:t>
      </w:r>
      <w:r w:rsidRPr="009D61DE">
        <w:rPr>
          <w:rFonts w:ascii="仿宋" w:eastAsia="仿宋" w:hAnsi="仿宋" w:hint="eastAsia"/>
          <w:sz w:val="32"/>
          <w:szCs w:val="32"/>
        </w:rPr>
        <w:t>；玉米产量</w:t>
      </w:r>
      <w:r w:rsidRPr="009D61DE">
        <w:rPr>
          <w:rFonts w:ascii="仿宋" w:eastAsia="仿宋" w:hAnsi="仿宋"/>
          <w:sz w:val="32"/>
          <w:szCs w:val="32"/>
        </w:rPr>
        <w:t>26.53</w:t>
      </w:r>
      <w:r w:rsidRPr="009D61DE">
        <w:rPr>
          <w:rFonts w:ascii="仿宋" w:eastAsia="仿宋" w:hAnsi="仿宋" w:hint="eastAsia"/>
          <w:sz w:val="32"/>
          <w:szCs w:val="32"/>
        </w:rPr>
        <w:t>万吨，减产</w:t>
      </w:r>
      <w:r w:rsidRPr="009D61DE">
        <w:rPr>
          <w:rFonts w:ascii="仿宋" w:eastAsia="仿宋" w:hAnsi="仿宋"/>
          <w:sz w:val="32"/>
          <w:szCs w:val="32"/>
        </w:rPr>
        <w:t>4.7%</w:t>
      </w:r>
      <w:r w:rsidRPr="009D61DE">
        <w:rPr>
          <w:rFonts w:ascii="仿宋" w:eastAsia="仿宋" w:hAnsi="仿宋" w:hint="eastAsia"/>
          <w:sz w:val="32"/>
          <w:szCs w:val="32"/>
        </w:rPr>
        <w:t>；油料籽产量</w:t>
      </w:r>
      <w:r w:rsidRPr="009D61DE">
        <w:rPr>
          <w:rFonts w:ascii="仿宋" w:eastAsia="仿宋" w:hAnsi="仿宋"/>
          <w:sz w:val="32"/>
          <w:szCs w:val="32"/>
        </w:rPr>
        <w:t>8.63</w:t>
      </w:r>
      <w:r w:rsidRPr="009D61DE">
        <w:rPr>
          <w:rFonts w:ascii="仿宋" w:eastAsia="仿宋" w:hAnsi="仿宋" w:hint="eastAsia"/>
          <w:sz w:val="32"/>
          <w:szCs w:val="32"/>
        </w:rPr>
        <w:t>万吨，增产</w:t>
      </w:r>
      <w:r w:rsidRPr="009D61DE">
        <w:rPr>
          <w:rFonts w:ascii="仿宋" w:eastAsia="仿宋" w:hAnsi="仿宋"/>
          <w:sz w:val="32"/>
          <w:szCs w:val="32"/>
        </w:rPr>
        <w:t>0.8%</w:t>
      </w:r>
      <w:r w:rsidRPr="009D61DE">
        <w:rPr>
          <w:rFonts w:ascii="仿宋" w:eastAsia="仿宋" w:hAnsi="仿宋" w:hint="eastAsia"/>
          <w:sz w:val="32"/>
          <w:szCs w:val="32"/>
        </w:rPr>
        <w:t>。糖料产量</w:t>
      </w:r>
      <w:r w:rsidR="00136709">
        <w:rPr>
          <w:rFonts w:ascii="仿宋" w:eastAsia="仿宋" w:hAnsi="仿宋"/>
          <w:sz w:val="32"/>
          <w:szCs w:val="32"/>
        </w:rPr>
        <w:t>1.6</w:t>
      </w:r>
      <w:r w:rsidRPr="009D61DE">
        <w:rPr>
          <w:rFonts w:ascii="仿宋" w:eastAsia="仿宋" w:hAnsi="仿宋" w:hint="eastAsia"/>
          <w:sz w:val="32"/>
          <w:szCs w:val="32"/>
        </w:rPr>
        <w:t>万吨，</w:t>
      </w:r>
      <w:r w:rsidR="00136709">
        <w:rPr>
          <w:rFonts w:ascii="仿宋" w:eastAsia="仿宋" w:hAnsi="仿宋" w:hint="eastAsia"/>
          <w:sz w:val="32"/>
          <w:szCs w:val="32"/>
        </w:rPr>
        <w:t>减</w:t>
      </w:r>
      <w:r w:rsidRPr="009D61DE">
        <w:rPr>
          <w:rFonts w:ascii="仿宋" w:eastAsia="仿宋" w:hAnsi="仿宋" w:hint="eastAsia"/>
          <w:sz w:val="32"/>
          <w:szCs w:val="32"/>
        </w:rPr>
        <w:t>产</w:t>
      </w:r>
      <w:r w:rsidR="00136709">
        <w:rPr>
          <w:rFonts w:ascii="仿宋" w:eastAsia="仿宋" w:hAnsi="仿宋"/>
          <w:sz w:val="32"/>
          <w:szCs w:val="32"/>
        </w:rPr>
        <w:t>1.3</w:t>
      </w:r>
      <w:r w:rsidRPr="009D61DE">
        <w:rPr>
          <w:rFonts w:ascii="仿宋" w:eastAsia="仿宋" w:hAnsi="仿宋"/>
          <w:sz w:val="32"/>
          <w:szCs w:val="32"/>
        </w:rPr>
        <w:t>%</w:t>
      </w:r>
      <w:r w:rsidRPr="009D61DE">
        <w:rPr>
          <w:rFonts w:ascii="仿宋" w:eastAsia="仿宋" w:hAnsi="仿宋" w:hint="eastAsia"/>
          <w:sz w:val="32"/>
          <w:szCs w:val="32"/>
        </w:rPr>
        <w:t>。烟叶产量</w:t>
      </w:r>
      <w:r w:rsidRPr="009D61DE">
        <w:rPr>
          <w:rFonts w:ascii="仿宋" w:eastAsia="仿宋" w:hAnsi="仿宋"/>
          <w:sz w:val="32"/>
          <w:szCs w:val="32"/>
        </w:rPr>
        <w:t>1.03</w:t>
      </w:r>
      <w:r w:rsidRPr="009D61DE">
        <w:rPr>
          <w:rFonts w:ascii="仿宋" w:eastAsia="仿宋" w:hAnsi="仿宋" w:hint="eastAsia"/>
          <w:sz w:val="32"/>
          <w:szCs w:val="32"/>
        </w:rPr>
        <w:t>万吨，增产</w:t>
      </w:r>
      <w:r w:rsidRPr="009D61DE">
        <w:rPr>
          <w:rFonts w:ascii="仿宋" w:eastAsia="仿宋" w:hAnsi="仿宋"/>
          <w:sz w:val="32"/>
          <w:szCs w:val="32"/>
        </w:rPr>
        <w:t>6.1%</w:t>
      </w:r>
      <w:r w:rsidRPr="009D61DE">
        <w:rPr>
          <w:rFonts w:ascii="仿宋" w:eastAsia="仿宋" w:hAnsi="仿宋" w:hint="eastAsia"/>
          <w:sz w:val="32"/>
          <w:szCs w:val="32"/>
        </w:rPr>
        <w:t>。茶叶产量1.55万吨，增产</w:t>
      </w:r>
      <w:r w:rsidRPr="009D61DE">
        <w:rPr>
          <w:rFonts w:ascii="仿宋" w:eastAsia="仿宋" w:hAnsi="仿宋"/>
          <w:sz w:val="32"/>
          <w:szCs w:val="32"/>
        </w:rPr>
        <w:t>8.7%</w:t>
      </w:r>
      <w:r w:rsidRPr="009D61DE">
        <w:rPr>
          <w:rFonts w:ascii="仿宋" w:eastAsia="仿宋" w:hAnsi="仿宋" w:hint="eastAsia"/>
          <w:sz w:val="32"/>
          <w:szCs w:val="32"/>
        </w:rPr>
        <w:t>。</w:t>
      </w:r>
    </w:p>
    <w:p w:rsidR="00A27F1B" w:rsidRPr="00153465" w:rsidRDefault="00A27F1B"/>
    <w:p w:rsidR="005945D0" w:rsidRDefault="005945D0" w:rsidP="00153465">
      <w:pPr>
        <w:jc w:val="center"/>
      </w:pPr>
      <w:r>
        <w:rPr>
          <w:noProof/>
        </w:rPr>
        <w:drawing>
          <wp:inline distT="0" distB="0" distL="0" distR="0">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17BB" w:rsidRPr="009D61DE" w:rsidRDefault="00A817BB" w:rsidP="00A817BB">
      <w:pPr>
        <w:ind w:firstLineChars="200" w:firstLine="640"/>
        <w:rPr>
          <w:rFonts w:ascii="仿宋" w:eastAsia="仿宋" w:hAnsi="仿宋"/>
          <w:sz w:val="32"/>
          <w:szCs w:val="32"/>
        </w:rPr>
      </w:pPr>
      <w:r w:rsidRPr="009D61DE">
        <w:rPr>
          <w:rFonts w:ascii="仿宋" w:eastAsia="仿宋" w:hAnsi="仿宋" w:hint="eastAsia"/>
          <w:color w:val="000000" w:themeColor="text1"/>
          <w:sz w:val="32"/>
          <w:szCs w:val="32"/>
        </w:rPr>
        <w:t>全年</w:t>
      </w:r>
      <w:r w:rsidR="00BB4392">
        <w:rPr>
          <w:rFonts w:ascii="仿宋" w:eastAsia="仿宋" w:hAnsi="仿宋" w:hint="eastAsia"/>
          <w:color w:val="000000" w:themeColor="text1"/>
          <w:sz w:val="32"/>
          <w:szCs w:val="32"/>
        </w:rPr>
        <w:t>全市</w:t>
      </w:r>
      <w:r w:rsidRPr="009D61DE">
        <w:rPr>
          <w:rFonts w:ascii="仿宋" w:eastAsia="仿宋" w:hAnsi="仿宋" w:hint="eastAsia"/>
          <w:color w:val="000000" w:themeColor="text1"/>
          <w:sz w:val="32"/>
          <w:szCs w:val="32"/>
        </w:rPr>
        <w:t>猪牛羊禽肉产量</w:t>
      </w:r>
      <w:r w:rsidRPr="009D61DE">
        <w:rPr>
          <w:rFonts w:ascii="仿宋" w:eastAsia="仿宋" w:hAnsi="仿宋"/>
          <w:color w:val="000000" w:themeColor="text1"/>
          <w:sz w:val="32"/>
          <w:szCs w:val="32"/>
        </w:rPr>
        <w:t>15.</w:t>
      </w:r>
      <w:r w:rsidR="00136709">
        <w:rPr>
          <w:rFonts w:ascii="仿宋" w:eastAsia="仿宋" w:hAnsi="仿宋"/>
          <w:color w:val="000000" w:themeColor="text1"/>
          <w:sz w:val="32"/>
          <w:szCs w:val="32"/>
        </w:rPr>
        <w:t>49</w:t>
      </w:r>
      <w:r w:rsidRPr="009D61DE">
        <w:rPr>
          <w:rFonts w:ascii="仿宋" w:eastAsia="仿宋" w:hAnsi="仿宋" w:hint="eastAsia"/>
          <w:color w:val="000000" w:themeColor="text1"/>
          <w:sz w:val="32"/>
          <w:szCs w:val="32"/>
        </w:rPr>
        <w:t>万吨，比上年下降</w:t>
      </w:r>
      <w:r w:rsidR="00136709">
        <w:rPr>
          <w:rFonts w:ascii="仿宋" w:eastAsia="仿宋" w:hAnsi="仿宋"/>
          <w:color w:val="000000" w:themeColor="text1"/>
          <w:sz w:val="32"/>
          <w:szCs w:val="32"/>
        </w:rPr>
        <w:t>3.7</w:t>
      </w:r>
      <w:r w:rsidRPr="009D61DE">
        <w:rPr>
          <w:rFonts w:ascii="仿宋" w:eastAsia="仿宋" w:hAnsi="仿宋"/>
          <w:color w:val="000000" w:themeColor="text1"/>
          <w:sz w:val="32"/>
          <w:szCs w:val="32"/>
        </w:rPr>
        <w:t>%</w:t>
      </w:r>
      <w:r w:rsidRPr="009D61DE">
        <w:rPr>
          <w:rFonts w:ascii="仿宋" w:eastAsia="仿宋" w:hAnsi="仿宋" w:hint="eastAsia"/>
          <w:color w:val="000000" w:themeColor="text1"/>
          <w:sz w:val="32"/>
          <w:szCs w:val="32"/>
        </w:rPr>
        <w:t>。其中，猪肉产量</w:t>
      </w:r>
      <w:r w:rsidR="00136709">
        <w:rPr>
          <w:rFonts w:ascii="仿宋" w:eastAsia="仿宋" w:hAnsi="仿宋"/>
          <w:color w:val="000000" w:themeColor="text1"/>
          <w:sz w:val="32"/>
          <w:szCs w:val="32"/>
        </w:rPr>
        <w:t>10.34</w:t>
      </w:r>
      <w:r w:rsidRPr="009D61DE">
        <w:rPr>
          <w:rFonts w:ascii="仿宋" w:eastAsia="仿宋" w:hAnsi="仿宋" w:hint="eastAsia"/>
          <w:color w:val="000000" w:themeColor="text1"/>
          <w:sz w:val="32"/>
          <w:szCs w:val="32"/>
        </w:rPr>
        <w:t>万吨，下降</w:t>
      </w:r>
      <w:r w:rsidR="00136709">
        <w:rPr>
          <w:rFonts w:ascii="仿宋" w:eastAsia="仿宋" w:hAnsi="仿宋"/>
          <w:color w:val="000000" w:themeColor="text1"/>
          <w:sz w:val="32"/>
          <w:szCs w:val="32"/>
        </w:rPr>
        <w:t>9.8</w:t>
      </w:r>
      <w:r w:rsidRPr="009D61DE">
        <w:rPr>
          <w:rFonts w:ascii="仿宋" w:eastAsia="仿宋" w:hAnsi="仿宋"/>
          <w:color w:val="000000" w:themeColor="text1"/>
          <w:sz w:val="32"/>
          <w:szCs w:val="32"/>
        </w:rPr>
        <w:t>%</w:t>
      </w:r>
      <w:r w:rsidRPr="009D61DE">
        <w:rPr>
          <w:rFonts w:ascii="仿宋" w:eastAsia="仿宋" w:hAnsi="仿宋" w:hint="eastAsia"/>
          <w:color w:val="000000" w:themeColor="text1"/>
          <w:sz w:val="32"/>
          <w:szCs w:val="32"/>
        </w:rPr>
        <w:t>；牛肉产量</w:t>
      </w:r>
      <w:r w:rsidRPr="009D61DE">
        <w:rPr>
          <w:rFonts w:ascii="仿宋" w:eastAsia="仿宋" w:hAnsi="仿宋"/>
          <w:color w:val="000000" w:themeColor="text1"/>
          <w:sz w:val="32"/>
          <w:szCs w:val="32"/>
        </w:rPr>
        <w:t>0.</w:t>
      </w:r>
      <w:r w:rsidR="00136709">
        <w:rPr>
          <w:rFonts w:ascii="仿宋" w:eastAsia="仿宋" w:hAnsi="仿宋"/>
          <w:color w:val="000000" w:themeColor="text1"/>
          <w:sz w:val="32"/>
          <w:szCs w:val="32"/>
        </w:rPr>
        <w:t>89</w:t>
      </w:r>
      <w:r w:rsidRPr="009D61DE">
        <w:rPr>
          <w:rFonts w:ascii="仿宋" w:eastAsia="仿宋" w:hAnsi="仿宋" w:hint="eastAsia"/>
          <w:color w:val="000000" w:themeColor="text1"/>
          <w:sz w:val="32"/>
          <w:szCs w:val="32"/>
        </w:rPr>
        <w:t>万吨，增长</w:t>
      </w:r>
      <w:r w:rsidR="00136709">
        <w:rPr>
          <w:rFonts w:ascii="仿宋" w:eastAsia="仿宋" w:hAnsi="仿宋"/>
          <w:color w:val="000000" w:themeColor="text1"/>
          <w:sz w:val="32"/>
          <w:szCs w:val="32"/>
        </w:rPr>
        <w:t>1.9</w:t>
      </w:r>
      <w:r w:rsidRPr="009D61DE">
        <w:rPr>
          <w:rFonts w:ascii="仿宋" w:eastAsia="仿宋" w:hAnsi="仿宋"/>
          <w:color w:val="000000" w:themeColor="text1"/>
          <w:sz w:val="32"/>
          <w:szCs w:val="32"/>
        </w:rPr>
        <w:t>%</w:t>
      </w:r>
      <w:r w:rsidRPr="009D61DE">
        <w:rPr>
          <w:rFonts w:ascii="仿宋" w:eastAsia="仿宋" w:hAnsi="仿宋" w:hint="eastAsia"/>
          <w:color w:val="000000" w:themeColor="text1"/>
          <w:sz w:val="32"/>
          <w:szCs w:val="32"/>
        </w:rPr>
        <w:t>；羊肉产量</w:t>
      </w:r>
      <w:r w:rsidRPr="009D61DE">
        <w:rPr>
          <w:rFonts w:ascii="仿宋" w:eastAsia="仿宋" w:hAnsi="仿宋"/>
          <w:color w:val="000000" w:themeColor="text1"/>
          <w:sz w:val="32"/>
          <w:szCs w:val="32"/>
        </w:rPr>
        <w:t>0.9</w:t>
      </w:r>
      <w:r w:rsidR="00136709">
        <w:rPr>
          <w:rFonts w:ascii="仿宋" w:eastAsia="仿宋" w:hAnsi="仿宋"/>
          <w:color w:val="000000" w:themeColor="text1"/>
          <w:sz w:val="32"/>
          <w:szCs w:val="32"/>
        </w:rPr>
        <w:t>8</w:t>
      </w:r>
      <w:r w:rsidRPr="009D61DE">
        <w:rPr>
          <w:rFonts w:ascii="仿宋" w:eastAsia="仿宋" w:hAnsi="仿宋" w:hint="eastAsia"/>
          <w:color w:val="000000" w:themeColor="text1"/>
          <w:sz w:val="32"/>
          <w:szCs w:val="32"/>
        </w:rPr>
        <w:t>万吨，增长</w:t>
      </w:r>
      <w:r w:rsidR="00136709">
        <w:rPr>
          <w:rFonts w:ascii="仿宋" w:eastAsia="仿宋" w:hAnsi="仿宋"/>
          <w:color w:val="000000" w:themeColor="text1"/>
          <w:sz w:val="32"/>
          <w:szCs w:val="32"/>
        </w:rPr>
        <w:t>3.2</w:t>
      </w:r>
      <w:r w:rsidRPr="009D61DE">
        <w:rPr>
          <w:rFonts w:ascii="仿宋" w:eastAsia="仿宋" w:hAnsi="仿宋"/>
          <w:color w:val="000000" w:themeColor="text1"/>
          <w:sz w:val="32"/>
          <w:szCs w:val="32"/>
        </w:rPr>
        <w:t>%</w:t>
      </w:r>
      <w:r w:rsidRPr="009D61DE">
        <w:rPr>
          <w:rFonts w:ascii="仿宋" w:eastAsia="仿宋" w:hAnsi="仿宋" w:hint="eastAsia"/>
          <w:color w:val="000000" w:themeColor="text1"/>
          <w:sz w:val="32"/>
          <w:szCs w:val="32"/>
        </w:rPr>
        <w:t>；禽肉产量</w:t>
      </w:r>
      <w:r w:rsidRPr="009D61DE">
        <w:rPr>
          <w:rFonts w:ascii="仿宋" w:eastAsia="仿宋" w:hAnsi="仿宋"/>
          <w:color w:val="000000" w:themeColor="text1"/>
          <w:sz w:val="32"/>
          <w:szCs w:val="32"/>
        </w:rPr>
        <w:t>3.33</w:t>
      </w:r>
      <w:r w:rsidRPr="009D61DE">
        <w:rPr>
          <w:rFonts w:ascii="仿宋" w:eastAsia="仿宋" w:hAnsi="仿宋" w:hint="eastAsia"/>
          <w:color w:val="000000" w:themeColor="text1"/>
          <w:sz w:val="32"/>
          <w:szCs w:val="32"/>
        </w:rPr>
        <w:t>万吨，增长</w:t>
      </w:r>
      <w:r w:rsidR="00136709">
        <w:rPr>
          <w:rFonts w:ascii="仿宋" w:eastAsia="仿宋" w:hAnsi="仿宋"/>
          <w:color w:val="000000" w:themeColor="text1"/>
          <w:sz w:val="32"/>
          <w:szCs w:val="32"/>
        </w:rPr>
        <w:t>17.1</w:t>
      </w:r>
      <w:r w:rsidRPr="009D61DE">
        <w:rPr>
          <w:rFonts w:ascii="仿宋" w:eastAsia="仿宋" w:hAnsi="仿宋"/>
          <w:color w:val="000000" w:themeColor="text1"/>
          <w:sz w:val="32"/>
          <w:szCs w:val="32"/>
        </w:rPr>
        <w:t>%</w:t>
      </w:r>
      <w:r w:rsidRPr="009D61DE">
        <w:rPr>
          <w:rFonts w:ascii="仿宋" w:eastAsia="仿宋" w:hAnsi="仿宋" w:hint="eastAsia"/>
          <w:color w:val="000000" w:themeColor="text1"/>
          <w:sz w:val="32"/>
          <w:szCs w:val="32"/>
        </w:rPr>
        <w:t>。</w:t>
      </w:r>
      <w:r w:rsidRPr="009D61DE">
        <w:rPr>
          <w:rFonts w:ascii="仿宋" w:eastAsia="仿宋" w:hAnsi="仿宋" w:hint="eastAsia"/>
          <w:sz w:val="32"/>
          <w:szCs w:val="32"/>
        </w:rPr>
        <w:t>禽蛋产量</w:t>
      </w:r>
      <w:r w:rsidRPr="009D61DE">
        <w:rPr>
          <w:rFonts w:ascii="仿宋" w:eastAsia="仿宋" w:hAnsi="仿宋"/>
          <w:sz w:val="32"/>
          <w:szCs w:val="32"/>
        </w:rPr>
        <w:t>6.25</w:t>
      </w:r>
      <w:r w:rsidRPr="009D61DE">
        <w:rPr>
          <w:rFonts w:ascii="仿宋" w:eastAsia="仿宋" w:hAnsi="仿宋" w:hint="eastAsia"/>
          <w:sz w:val="32"/>
          <w:szCs w:val="32"/>
        </w:rPr>
        <w:t>万吨，增长</w:t>
      </w:r>
      <w:r w:rsidRPr="009D61DE">
        <w:rPr>
          <w:rFonts w:ascii="仿宋" w:eastAsia="仿宋" w:hAnsi="仿宋"/>
          <w:sz w:val="32"/>
          <w:szCs w:val="32"/>
        </w:rPr>
        <w:t>3.1%</w:t>
      </w:r>
      <w:r w:rsidRPr="009D61DE">
        <w:rPr>
          <w:rFonts w:ascii="仿宋" w:eastAsia="仿宋" w:hAnsi="仿宋" w:hint="eastAsia"/>
          <w:sz w:val="32"/>
          <w:szCs w:val="32"/>
        </w:rPr>
        <w:t>。年末生猪出栏</w:t>
      </w:r>
      <w:r w:rsidRPr="009D61DE">
        <w:rPr>
          <w:rFonts w:ascii="仿宋" w:eastAsia="仿宋" w:hAnsi="仿宋"/>
          <w:sz w:val="32"/>
          <w:szCs w:val="32"/>
        </w:rPr>
        <w:t>135.76</w:t>
      </w:r>
      <w:r w:rsidRPr="009D61DE">
        <w:rPr>
          <w:rFonts w:ascii="仿宋" w:eastAsia="仿宋" w:hAnsi="仿宋" w:hint="eastAsia"/>
          <w:sz w:val="32"/>
          <w:szCs w:val="32"/>
        </w:rPr>
        <w:t>万头，下降</w:t>
      </w:r>
      <w:r w:rsidRPr="009D61DE">
        <w:rPr>
          <w:rFonts w:ascii="仿宋" w:eastAsia="仿宋" w:hAnsi="仿宋"/>
          <w:sz w:val="32"/>
          <w:szCs w:val="32"/>
        </w:rPr>
        <w:t>13%</w:t>
      </w:r>
      <w:r w:rsidRPr="009D61DE">
        <w:rPr>
          <w:rFonts w:ascii="仿宋" w:eastAsia="仿宋" w:hAnsi="仿宋" w:hint="eastAsia"/>
          <w:sz w:val="32"/>
          <w:szCs w:val="32"/>
        </w:rPr>
        <w:t>。</w:t>
      </w:r>
    </w:p>
    <w:p w:rsidR="00A817BB" w:rsidRDefault="00A817BB" w:rsidP="00A817BB">
      <w:pPr>
        <w:ind w:firstLineChars="200" w:firstLine="640"/>
        <w:rPr>
          <w:rFonts w:ascii="仿宋" w:eastAsia="仿宋" w:hAnsi="仿宋"/>
          <w:sz w:val="32"/>
          <w:szCs w:val="32"/>
        </w:rPr>
      </w:pPr>
      <w:r w:rsidRPr="009D61DE">
        <w:rPr>
          <w:rFonts w:ascii="仿宋" w:eastAsia="仿宋" w:hAnsi="仿宋" w:hint="eastAsia"/>
          <w:sz w:val="32"/>
          <w:szCs w:val="32"/>
        </w:rPr>
        <w:t>全年</w:t>
      </w:r>
      <w:r w:rsidR="00BB4392">
        <w:rPr>
          <w:rFonts w:ascii="仿宋" w:eastAsia="仿宋" w:hAnsi="仿宋" w:hint="eastAsia"/>
          <w:sz w:val="32"/>
          <w:szCs w:val="32"/>
        </w:rPr>
        <w:t>全市</w:t>
      </w:r>
      <w:r w:rsidRPr="009D61DE">
        <w:rPr>
          <w:rFonts w:ascii="仿宋" w:eastAsia="仿宋" w:hAnsi="仿宋" w:hint="eastAsia"/>
          <w:sz w:val="32"/>
          <w:szCs w:val="32"/>
        </w:rPr>
        <w:t>水产品产量</w:t>
      </w:r>
      <w:r w:rsidRPr="009D61DE">
        <w:rPr>
          <w:rFonts w:ascii="仿宋" w:eastAsia="仿宋" w:hAnsi="仿宋"/>
          <w:sz w:val="32"/>
          <w:szCs w:val="32"/>
        </w:rPr>
        <w:t>5.59</w:t>
      </w:r>
      <w:r w:rsidRPr="009D61DE">
        <w:rPr>
          <w:rFonts w:ascii="仿宋" w:eastAsia="仿宋" w:hAnsi="仿宋" w:hint="eastAsia"/>
          <w:sz w:val="32"/>
          <w:szCs w:val="32"/>
        </w:rPr>
        <w:t>万吨，同</w:t>
      </w:r>
      <w:r w:rsidRPr="009D61DE">
        <w:rPr>
          <w:rFonts w:ascii="仿宋" w:eastAsia="仿宋" w:hAnsi="仿宋"/>
          <w:sz w:val="32"/>
          <w:szCs w:val="32"/>
        </w:rPr>
        <w:t>比增长</w:t>
      </w:r>
      <w:r w:rsidRPr="009D61DE">
        <w:rPr>
          <w:rFonts w:ascii="仿宋" w:eastAsia="仿宋" w:hAnsi="仿宋" w:hint="eastAsia"/>
          <w:sz w:val="32"/>
          <w:szCs w:val="32"/>
        </w:rPr>
        <w:t>3.0</w:t>
      </w:r>
      <w:r w:rsidRPr="009D61DE">
        <w:rPr>
          <w:rFonts w:ascii="仿宋" w:eastAsia="仿宋" w:hAnsi="仿宋"/>
          <w:sz w:val="32"/>
          <w:szCs w:val="32"/>
        </w:rPr>
        <w:t>%</w:t>
      </w:r>
      <w:r w:rsidRPr="009D61DE">
        <w:rPr>
          <w:rFonts w:ascii="仿宋" w:eastAsia="仿宋" w:hAnsi="仿宋" w:hint="eastAsia"/>
          <w:sz w:val="32"/>
          <w:szCs w:val="32"/>
        </w:rPr>
        <w:t>。</w:t>
      </w:r>
    </w:p>
    <w:p w:rsidR="00153465" w:rsidRDefault="00153465" w:rsidP="00153465">
      <w:pPr>
        <w:ind w:firstLineChars="200" w:firstLine="643"/>
        <w:rPr>
          <w:rFonts w:ascii="黑体" w:eastAsia="黑体" w:hAnsi="黑体" w:cs="宋体"/>
          <w:b/>
          <w:kern w:val="0"/>
          <w:sz w:val="32"/>
          <w:szCs w:val="32"/>
        </w:rPr>
      </w:pPr>
      <w:r w:rsidRPr="00266041">
        <w:rPr>
          <w:rFonts w:ascii="黑体" w:eastAsia="黑体" w:hAnsi="黑体" w:cs="宋体" w:hint="eastAsia"/>
          <w:b/>
          <w:kern w:val="0"/>
          <w:sz w:val="32"/>
          <w:szCs w:val="32"/>
        </w:rPr>
        <w:lastRenderedPageBreak/>
        <w:t>三、工业和建筑业</w:t>
      </w:r>
    </w:p>
    <w:p w:rsidR="00153465" w:rsidRDefault="00153465" w:rsidP="00153465">
      <w:pPr>
        <w:ind w:firstLineChars="200" w:firstLine="640"/>
        <w:rPr>
          <w:rFonts w:ascii="仿宋" w:eastAsia="仿宋" w:hAnsi="仿宋"/>
          <w:color w:val="000000" w:themeColor="text1"/>
          <w:sz w:val="32"/>
          <w:szCs w:val="32"/>
        </w:rPr>
      </w:pPr>
      <w:r w:rsidRPr="0045538C">
        <w:rPr>
          <w:rFonts w:ascii="仿宋" w:eastAsia="仿宋" w:hAnsi="仿宋" w:hint="eastAsia"/>
          <w:color w:val="000000" w:themeColor="text1"/>
          <w:sz w:val="32"/>
          <w:szCs w:val="32"/>
        </w:rPr>
        <w:t>年末</w:t>
      </w:r>
      <w:r w:rsidR="00BB4392">
        <w:rPr>
          <w:rFonts w:ascii="仿宋" w:eastAsia="仿宋" w:hAnsi="仿宋" w:hint="eastAsia"/>
          <w:color w:val="000000" w:themeColor="text1"/>
          <w:sz w:val="32"/>
          <w:szCs w:val="32"/>
        </w:rPr>
        <w:t>全市</w:t>
      </w:r>
      <w:r w:rsidR="00083C8A">
        <w:rPr>
          <w:rFonts w:ascii="仿宋" w:eastAsia="仿宋" w:hAnsi="仿宋" w:hint="eastAsia"/>
          <w:color w:val="000000" w:themeColor="text1"/>
          <w:sz w:val="32"/>
          <w:szCs w:val="32"/>
        </w:rPr>
        <w:t>全部</w:t>
      </w:r>
      <w:r w:rsidR="00083C8A">
        <w:rPr>
          <w:rFonts w:ascii="仿宋" w:eastAsia="仿宋" w:hAnsi="仿宋"/>
          <w:color w:val="000000" w:themeColor="text1"/>
          <w:sz w:val="32"/>
          <w:szCs w:val="32"/>
        </w:rPr>
        <w:t>工业增加值增长</w:t>
      </w:r>
      <w:r w:rsidR="00083C8A">
        <w:rPr>
          <w:rFonts w:ascii="仿宋" w:eastAsia="仿宋" w:hAnsi="仿宋" w:hint="eastAsia"/>
          <w:color w:val="000000" w:themeColor="text1"/>
          <w:sz w:val="32"/>
          <w:szCs w:val="32"/>
        </w:rPr>
        <w:t>6.4%，</w:t>
      </w:r>
      <w:r w:rsidRPr="0045538C">
        <w:rPr>
          <w:rFonts w:ascii="仿宋" w:eastAsia="仿宋" w:hAnsi="仿宋" w:hint="eastAsia"/>
          <w:color w:val="000000" w:themeColor="text1"/>
          <w:sz w:val="32"/>
          <w:szCs w:val="32"/>
        </w:rPr>
        <w:t>规模</w:t>
      </w:r>
      <w:r w:rsidRPr="009D61DE">
        <w:rPr>
          <w:rFonts w:ascii="仿宋" w:eastAsia="仿宋" w:hAnsi="仿宋" w:hint="eastAsia"/>
          <w:sz w:val="32"/>
          <w:szCs w:val="32"/>
        </w:rPr>
        <w:t>以上工业增加值增长</w:t>
      </w:r>
      <w:r w:rsidRPr="009D61DE">
        <w:rPr>
          <w:rFonts w:ascii="仿宋" w:eastAsia="仿宋" w:hAnsi="仿宋"/>
          <w:sz w:val="32"/>
          <w:szCs w:val="32"/>
        </w:rPr>
        <w:t>5.5%</w:t>
      </w:r>
      <w:r w:rsidRPr="009D61DE">
        <w:rPr>
          <w:rFonts w:ascii="仿宋" w:eastAsia="仿宋" w:hAnsi="仿宋" w:hint="eastAsia"/>
          <w:sz w:val="32"/>
          <w:szCs w:val="32"/>
        </w:rPr>
        <w:t>。</w:t>
      </w:r>
      <w:r w:rsidRPr="00E16628">
        <w:rPr>
          <w:rFonts w:ascii="仿宋" w:eastAsia="仿宋" w:hAnsi="仿宋" w:hint="eastAsia"/>
          <w:color w:val="000000" w:themeColor="text1"/>
          <w:sz w:val="32"/>
          <w:szCs w:val="32"/>
        </w:rPr>
        <w:t>在规模以上工业中，分经济类型看，国有控股企业增加值下降6.1%；股份制企业增长5.0%，外商及港澳台商投资企业增长0.4%；私营企业增长11.5%。分门类看，采矿业下降4.7%，制造业增长5.7%，电力、热力、燃气及水生产和供应业增长4.8%。</w:t>
      </w:r>
    </w:p>
    <w:p w:rsidR="009072F0" w:rsidRPr="0045538C" w:rsidRDefault="00F0122D" w:rsidP="009072F0">
      <w:pPr>
        <w:ind w:firstLineChars="200" w:firstLine="420"/>
        <w:jc w:val="center"/>
        <w:rPr>
          <w:rFonts w:ascii="黑体" w:eastAsia="黑体" w:hAnsi="黑体" w:cs="宋体"/>
          <w:b/>
          <w:kern w:val="0"/>
          <w:sz w:val="32"/>
          <w:szCs w:val="32"/>
        </w:rPr>
      </w:pPr>
      <w:r>
        <w:rPr>
          <w:noProof/>
        </w:rPr>
        <w:drawing>
          <wp:inline distT="0" distB="0" distL="0" distR="0">
            <wp:extent cx="4572000" cy="3116580"/>
            <wp:effectExtent l="0" t="0" r="0" b="762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E2F20" w:rsidRDefault="00153465" w:rsidP="00A66FC0">
      <w:pPr>
        <w:ind w:firstLineChars="200" w:firstLine="640"/>
        <w:rPr>
          <w:rFonts w:ascii="Calibri" w:eastAsia="仿宋" w:hAnsi="Calibri" w:cs="Calibri"/>
          <w:sz w:val="32"/>
          <w:szCs w:val="32"/>
        </w:rPr>
      </w:pPr>
      <w:r w:rsidRPr="009D61DE">
        <w:rPr>
          <w:rFonts w:ascii="仿宋" w:eastAsia="仿宋" w:hAnsi="仿宋" w:hint="eastAsia"/>
          <w:sz w:val="32"/>
          <w:szCs w:val="32"/>
        </w:rPr>
        <w:t>全年</w:t>
      </w:r>
      <w:r w:rsidR="00BB4392">
        <w:rPr>
          <w:rFonts w:ascii="仿宋" w:eastAsia="仿宋" w:hAnsi="仿宋" w:hint="eastAsia"/>
          <w:sz w:val="32"/>
          <w:szCs w:val="32"/>
        </w:rPr>
        <w:t>全市</w:t>
      </w:r>
      <w:r w:rsidRPr="009D61DE">
        <w:rPr>
          <w:rFonts w:ascii="仿宋" w:eastAsia="仿宋" w:hAnsi="仿宋" w:hint="eastAsia"/>
          <w:sz w:val="32"/>
          <w:szCs w:val="32"/>
        </w:rPr>
        <w:t>规模以上工业中，汽车制造业</w:t>
      </w:r>
      <w:r w:rsidR="00ED7843">
        <w:rPr>
          <w:rFonts w:ascii="仿宋" w:eastAsia="仿宋" w:hAnsi="仿宋" w:hint="eastAsia"/>
          <w:sz w:val="32"/>
          <w:szCs w:val="32"/>
        </w:rPr>
        <w:t>增加</w:t>
      </w:r>
      <w:r w:rsidR="00ED7843">
        <w:rPr>
          <w:rFonts w:ascii="仿宋" w:eastAsia="仿宋" w:hAnsi="仿宋"/>
          <w:sz w:val="32"/>
          <w:szCs w:val="32"/>
        </w:rPr>
        <w:t>值</w:t>
      </w:r>
      <w:r w:rsidRPr="009D61DE">
        <w:rPr>
          <w:rFonts w:ascii="仿宋" w:eastAsia="仿宋" w:hAnsi="仿宋" w:hint="eastAsia"/>
          <w:sz w:val="32"/>
          <w:szCs w:val="32"/>
        </w:rPr>
        <w:t>增长</w:t>
      </w:r>
      <w:r w:rsidRPr="009D61DE">
        <w:rPr>
          <w:rFonts w:ascii="仿宋" w:eastAsia="仿宋" w:hAnsi="仿宋"/>
          <w:sz w:val="32"/>
          <w:szCs w:val="32"/>
        </w:rPr>
        <w:t>5.</w:t>
      </w:r>
      <w:r w:rsidR="00ED7843">
        <w:rPr>
          <w:rFonts w:ascii="仿宋" w:eastAsia="仿宋" w:hAnsi="仿宋"/>
          <w:sz w:val="32"/>
          <w:szCs w:val="32"/>
        </w:rPr>
        <w:t>1</w:t>
      </w:r>
      <w:r w:rsidRPr="009D61DE">
        <w:rPr>
          <w:rFonts w:ascii="仿宋" w:eastAsia="仿宋" w:hAnsi="仿宋"/>
          <w:sz w:val="32"/>
          <w:szCs w:val="32"/>
        </w:rPr>
        <w:t>%</w:t>
      </w:r>
      <w:r w:rsidRPr="009D61DE">
        <w:rPr>
          <w:rFonts w:ascii="仿宋" w:eastAsia="仿宋" w:hAnsi="仿宋" w:hint="eastAsia"/>
          <w:sz w:val="32"/>
          <w:szCs w:val="32"/>
        </w:rPr>
        <w:t>，农副食品加工业增加值比上年增长</w:t>
      </w:r>
      <w:r w:rsidRPr="009D61DE">
        <w:rPr>
          <w:rFonts w:ascii="仿宋" w:eastAsia="仿宋" w:hAnsi="仿宋"/>
          <w:sz w:val="32"/>
          <w:szCs w:val="32"/>
        </w:rPr>
        <w:t>3.5%</w:t>
      </w:r>
      <w:r w:rsidRPr="009D61DE">
        <w:rPr>
          <w:rFonts w:ascii="仿宋" w:eastAsia="仿宋" w:hAnsi="仿宋" w:hint="eastAsia"/>
          <w:sz w:val="32"/>
          <w:szCs w:val="32"/>
        </w:rPr>
        <w:t>，纺织业增长</w:t>
      </w:r>
      <w:r w:rsidRPr="009D61DE">
        <w:rPr>
          <w:rFonts w:ascii="仿宋" w:eastAsia="仿宋" w:hAnsi="仿宋"/>
          <w:sz w:val="32"/>
          <w:szCs w:val="32"/>
        </w:rPr>
        <w:t>12.4%</w:t>
      </w:r>
      <w:r w:rsidRPr="009D61DE">
        <w:rPr>
          <w:rFonts w:ascii="仿宋" w:eastAsia="仿宋" w:hAnsi="仿宋" w:hint="eastAsia"/>
          <w:sz w:val="32"/>
          <w:szCs w:val="32"/>
        </w:rPr>
        <w:t>，化学原料和化学制品制造业增长</w:t>
      </w:r>
      <w:r w:rsidRPr="009D61DE">
        <w:rPr>
          <w:rFonts w:ascii="仿宋" w:eastAsia="仿宋" w:hAnsi="仿宋"/>
          <w:sz w:val="32"/>
          <w:szCs w:val="32"/>
        </w:rPr>
        <w:t>1.0%</w:t>
      </w:r>
      <w:r w:rsidRPr="009D61DE">
        <w:rPr>
          <w:rFonts w:ascii="仿宋" w:eastAsia="仿宋" w:hAnsi="仿宋" w:hint="eastAsia"/>
          <w:sz w:val="32"/>
          <w:szCs w:val="32"/>
        </w:rPr>
        <w:t>，非金属矿物制品业增长</w:t>
      </w:r>
      <w:r w:rsidRPr="009D61DE">
        <w:rPr>
          <w:rFonts w:ascii="仿宋" w:eastAsia="仿宋" w:hAnsi="仿宋"/>
          <w:sz w:val="32"/>
          <w:szCs w:val="32"/>
        </w:rPr>
        <w:t>2.3%</w:t>
      </w:r>
      <w:r w:rsidRPr="009D61DE">
        <w:rPr>
          <w:rFonts w:ascii="仿宋" w:eastAsia="仿宋" w:hAnsi="仿宋" w:hint="eastAsia"/>
          <w:sz w:val="32"/>
          <w:szCs w:val="32"/>
        </w:rPr>
        <w:t>，黑色金属冶炼和压延加工业增长</w:t>
      </w:r>
      <w:r w:rsidRPr="009D61DE">
        <w:rPr>
          <w:rFonts w:ascii="仿宋" w:eastAsia="仿宋" w:hAnsi="仿宋"/>
          <w:sz w:val="32"/>
          <w:szCs w:val="32"/>
        </w:rPr>
        <w:t>26.3%</w:t>
      </w:r>
      <w:r w:rsidRPr="009D61DE">
        <w:rPr>
          <w:rFonts w:ascii="仿宋" w:eastAsia="仿宋" w:hAnsi="仿宋" w:hint="eastAsia"/>
          <w:sz w:val="32"/>
          <w:szCs w:val="32"/>
        </w:rPr>
        <w:t>，</w:t>
      </w:r>
      <w:r w:rsidRPr="00927E66">
        <w:rPr>
          <w:rFonts w:ascii="仿宋" w:eastAsia="仿宋" w:hAnsi="仿宋"/>
          <w:sz w:val="32"/>
          <w:szCs w:val="32"/>
        </w:rPr>
        <w:t>通用设备制造业下降0.3%，专用设备制造业增长15.0%，电气机械和器材制造业增长50.9%，计算机、通信和其他电子设备制造业下降13.4%</w:t>
      </w:r>
      <w:r w:rsidR="00D6240D">
        <w:rPr>
          <w:rFonts w:ascii="仿宋" w:eastAsia="仿宋" w:hAnsi="仿宋" w:hint="eastAsia"/>
          <w:sz w:val="32"/>
          <w:szCs w:val="32"/>
        </w:rPr>
        <w:t>，</w:t>
      </w:r>
      <w:r w:rsidRPr="009D61DE">
        <w:rPr>
          <w:rFonts w:ascii="仿宋" w:eastAsia="仿宋" w:hAnsi="仿宋" w:hint="eastAsia"/>
          <w:sz w:val="32"/>
          <w:szCs w:val="32"/>
        </w:rPr>
        <w:t>电力、热力生产和供应业增长</w:t>
      </w:r>
      <w:r w:rsidRPr="009D61DE">
        <w:rPr>
          <w:rFonts w:ascii="仿宋" w:eastAsia="仿宋" w:hAnsi="仿宋"/>
          <w:sz w:val="32"/>
          <w:szCs w:val="32"/>
        </w:rPr>
        <w:t>0.8%</w:t>
      </w:r>
      <w:r w:rsidRPr="009D61DE">
        <w:rPr>
          <w:rFonts w:ascii="仿宋" w:eastAsia="仿宋" w:hAnsi="仿宋" w:hint="eastAsia"/>
          <w:sz w:val="32"/>
          <w:szCs w:val="32"/>
        </w:rPr>
        <w:t>。</w:t>
      </w:r>
    </w:p>
    <w:tbl>
      <w:tblPr>
        <w:tblW w:w="6420" w:type="dxa"/>
        <w:jc w:val="center"/>
        <w:tblLook w:val="04A0" w:firstRow="1" w:lastRow="0" w:firstColumn="1" w:lastColumn="0" w:noHBand="0" w:noVBand="1"/>
      </w:tblPr>
      <w:tblGrid>
        <w:gridCol w:w="2689"/>
        <w:gridCol w:w="1842"/>
        <w:gridCol w:w="1889"/>
      </w:tblGrid>
      <w:tr w:rsidR="005206DB" w:rsidRPr="005206DB" w:rsidTr="005206DB">
        <w:trPr>
          <w:trHeight w:val="288"/>
          <w:jc w:val="center"/>
        </w:trPr>
        <w:tc>
          <w:tcPr>
            <w:tcW w:w="6420" w:type="dxa"/>
            <w:gridSpan w:val="3"/>
            <w:tcBorders>
              <w:bottom w:val="single" w:sz="4" w:space="0" w:color="auto"/>
            </w:tcBorders>
            <w:shd w:val="clear" w:color="auto" w:fill="auto"/>
            <w:noWrap/>
            <w:vAlign w:val="center"/>
          </w:tcPr>
          <w:p w:rsidR="005206DB" w:rsidRPr="005206DB" w:rsidRDefault="005206DB" w:rsidP="005E446E">
            <w:pPr>
              <w:widowControl/>
              <w:jc w:val="center"/>
              <w:rPr>
                <w:rFonts w:ascii="宋体" w:eastAsia="宋体" w:hAnsi="宋体" w:cs="宋体"/>
                <w:b/>
                <w:color w:val="000000"/>
                <w:kern w:val="0"/>
                <w:sz w:val="24"/>
                <w:szCs w:val="24"/>
              </w:rPr>
            </w:pPr>
            <w:r w:rsidRPr="005206DB">
              <w:rPr>
                <w:rFonts w:ascii="宋体" w:eastAsia="宋体" w:hAnsi="宋体" w:cs="宋体" w:hint="eastAsia"/>
                <w:b/>
                <w:color w:val="000000"/>
                <w:kern w:val="0"/>
                <w:sz w:val="24"/>
                <w:szCs w:val="24"/>
              </w:rPr>
              <w:lastRenderedPageBreak/>
              <w:t>表</w:t>
            </w:r>
            <w:r w:rsidR="005E446E">
              <w:rPr>
                <w:rFonts w:ascii="宋体" w:eastAsia="宋体" w:hAnsi="宋体" w:cs="宋体"/>
                <w:b/>
                <w:color w:val="000000"/>
                <w:kern w:val="0"/>
                <w:sz w:val="24"/>
                <w:szCs w:val="24"/>
              </w:rPr>
              <w:t>2</w:t>
            </w:r>
            <w:r w:rsidRPr="005206DB">
              <w:rPr>
                <w:rFonts w:ascii="宋体" w:eastAsia="宋体" w:hAnsi="宋体" w:cs="宋体" w:hint="eastAsia"/>
                <w:b/>
                <w:color w:val="000000"/>
                <w:kern w:val="0"/>
                <w:sz w:val="24"/>
                <w:szCs w:val="24"/>
              </w:rPr>
              <w:t xml:space="preserve">  2019年</w:t>
            </w:r>
            <w:r w:rsidRPr="005206DB">
              <w:rPr>
                <w:rFonts w:ascii="宋体" w:eastAsia="宋体" w:hAnsi="宋体" w:cs="宋体"/>
                <w:b/>
                <w:color w:val="000000"/>
                <w:kern w:val="0"/>
                <w:sz w:val="24"/>
                <w:szCs w:val="24"/>
              </w:rPr>
              <w:t>主要工业产品产量及其增长速度</w:t>
            </w:r>
          </w:p>
        </w:tc>
      </w:tr>
      <w:tr w:rsidR="005206DB" w:rsidRPr="005206DB" w:rsidTr="005206DB">
        <w:trPr>
          <w:trHeight w:val="288"/>
          <w:jc w:val="center"/>
        </w:trPr>
        <w:tc>
          <w:tcPr>
            <w:tcW w:w="2689" w:type="dxa"/>
            <w:tcBorders>
              <w:top w:val="single" w:sz="4" w:space="0" w:color="auto"/>
              <w:bottom w:val="single" w:sz="4" w:space="0" w:color="auto"/>
              <w:right w:val="single" w:sz="4" w:space="0" w:color="auto"/>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产品</w:t>
            </w:r>
            <w:r>
              <w:rPr>
                <w:rFonts w:ascii="宋体" w:eastAsia="宋体" w:hAnsi="宋体" w:cs="宋体"/>
                <w:color w:val="000000"/>
                <w:kern w:val="0"/>
                <w:sz w:val="22"/>
              </w:rPr>
              <w:t>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绝对量</w:t>
            </w:r>
          </w:p>
        </w:tc>
        <w:tc>
          <w:tcPr>
            <w:tcW w:w="1889" w:type="dxa"/>
            <w:tcBorders>
              <w:top w:val="single" w:sz="4" w:space="0" w:color="auto"/>
              <w:left w:val="nil"/>
              <w:bottom w:val="single" w:sz="4" w:space="0" w:color="auto"/>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比上年增长</w:t>
            </w:r>
            <w:r>
              <w:rPr>
                <w:rFonts w:ascii="宋体" w:eastAsia="宋体" w:hAnsi="宋体" w:cs="宋体" w:hint="eastAsia"/>
                <w:color w:val="000000"/>
                <w:kern w:val="0"/>
                <w:sz w:val="22"/>
              </w:rPr>
              <w:t>（%</w:t>
            </w:r>
            <w:r>
              <w:rPr>
                <w:rFonts w:ascii="宋体" w:eastAsia="宋体" w:hAnsi="宋体" w:cs="宋体"/>
                <w:color w:val="000000"/>
                <w:kern w:val="0"/>
                <w:sz w:val="22"/>
              </w:rPr>
              <w:t>）</w:t>
            </w:r>
          </w:p>
        </w:tc>
      </w:tr>
      <w:tr w:rsidR="005206DB" w:rsidRPr="005206DB" w:rsidTr="005206DB">
        <w:trPr>
          <w:trHeight w:val="288"/>
          <w:jc w:val="center"/>
        </w:trPr>
        <w:tc>
          <w:tcPr>
            <w:tcW w:w="2689" w:type="dxa"/>
            <w:tcBorders>
              <w:top w:val="single" w:sz="4" w:space="0" w:color="auto"/>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汽车（辆）</w:t>
            </w:r>
          </w:p>
        </w:tc>
        <w:tc>
          <w:tcPr>
            <w:tcW w:w="1842" w:type="dxa"/>
            <w:tcBorders>
              <w:top w:val="single" w:sz="4" w:space="0" w:color="auto"/>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517906</w:t>
            </w:r>
          </w:p>
        </w:tc>
        <w:tc>
          <w:tcPr>
            <w:tcW w:w="1889" w:type="dxa"/>
            <w:tcBorders>
              <w:top w:val="single" w:sz="4" w:space="0" w:color="auto"/>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-5.2</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其中：新能源汽车</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2359</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-80.4</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改装车（辆）</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96708</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0.7</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发电量（万千瓦时）</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63.86</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-19.34</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其中：水电（万千万时）</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42.52</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-44.46</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 xml:space="preserve">      火电（万千万时）</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26.19</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1320.52</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饮料酒（千升）</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29168.8</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其中：白酒（千升）</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2468.8</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0.7</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软饮料（万吨）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219.2</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28.4</w:t>
            </w:r>
          </w:p>
        </w:tc>
      </w:tr>
      <w:tr w:rsidR="005206DB" w:rsidRPr="005206DB" w:rsidTr="005206DB">
        <w:trPr>
          <w:trHeight w:val="435"/>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精制茶（吨）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6677.4</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34.1</w:t>
            </w:r>
          </w:p>
        </w:tc>
      </w:tr>
      <w:tr w:rsidR="005206DB" w:rsidRPr="005206DB" w:rsidTr="005206DB">
        <w:trPr>
          <w:trHeight w:val="435"/>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纱（吨）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33342</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-6.1</w:t>
            </w:r>
          </w:p>
        </w:tc>
      </w:tr>
      <w:tr w:rsidR="005206DB" w:rsidRPr="005206DB" w:rsidTr="005206DB">
        <w:trPr>
          <w:trHeight w:val="435"/>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布（万米）</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1728.3</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-8.1</w:t>
            </w:r>
          </w:p>
        </w:tc>
      </w:tr>
      <w:tr w:rsidR="005206DB" w:rsidRPr="005206DB" w:rsidTr="005206DB">
        <w:trPr>
          <w:trHeight w:val="435"/>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服装（万件）</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384.4</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-9.1</w:t>
            </w:r>
          </w:p>
        </w:tc>
      </w:tr>
      <w:tr w:rsidR="005206DB" w:rsidRPr="005206DB" w:rsidTr="005206DB">
        <w:trPr>
          <w:trHeight w:val="435"/>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化学原药（吨）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1055</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-16.8</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轮胎外胎（万条）</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393.4</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-17.8</w:t>
            </w:r>
          </w:p>
        </w:tc>
      </w:tr>
      <w:tr w:rsidR="005206DB" w:rsidRPr="005206DB" w:rsidTr="005206DB">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水泥（万吨）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413.5</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6</w:t>
            </w:r>
          </w:p>
        </w:tc>
      </w:tr>
      <w:tr w:rsidR="005206DB" w:rsidRPr="005206DB" w:rsidTr="005E446E">
        <w:trPr>
          <w:trHeight w:val="288"/>
          <w:jc w:val="center"/>
        </w:trPr>
        <w:tc>
          <w:tcPr>
            <w:tcW w:w="2689" w:type="dxa"/>
            <w:tcBorders>
              <w:top w:val="nil"/>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钢材（万吨）</w:t>
            </w:r>
          </w:p>
        </w:tc>
        <w:tc>
          <w:tcPr>
            <w:tcW w:w="1842"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97.8</w:t>
            </w:r>
          </w:p>
        </w:tc>
        <w:tc>
          <w:tcPr>
            <w:tcW w:w="1889" w:type="dxa"/>
            <w:tcBorders>
              <w:top w:val="nil"/>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24.8</w:t>
            </w:r>
          </w:p>
        </w:tc>
      </w:tr>
      <w:tr w:rsidR="005206DB" w:rsidRPr="005206DB" w:rsidTr="005E446E">
        <w:trPr>
          <w:trHeight w:val="288"/>
          <w:jc w:val="center"/>
        </w:trPr>
        <w:tc>
          <w:tcPr>
            <w:tcW w:w="2689" w:type="dxa"/>
            <w:tcBorders>
              <w:top w:val="nil"/>
              <w:bottom w:val="single" w:sz="4" w:space="0" w:color="auto"/>
            </w:tcBorders>
            <w:shd w:val="clear" w:color="auto" w:fill="auto"/>
            <w:noWrap/>
            <w:vAlign w:val="center"/>
            <w:hideMark/>
          </w:tcPr>
          <w:p w:rsidR="005206DB" w:rsidRPr="005206DB" w:rsidRDefault="005206DB" w:rsidP="005206DB">
            <w:pPr>
              <w:widowControl/>
              <w:jc w:val="left"/>
              <w:rPr>
                <w:rFonts w:ascii="宋体" w:eastAsia="宋体" w:hAnsi="宋体" w:cs="宋体"/>
                <w:color w:val="000000"/>
                <w:kern w:val="0"/>
                <w:sz w:val="22"/>
              </w:rPr>
            </w:pPr>
            <w:r w:rsidRPr="005206DB">
              <w:rPr>
                <w:rFonts w:ascii="宋体" w:eastAsia="宋体" w:hAnsi="宋体" w:cs="宋体" w:hint="eastAsia"/>
                <w:color w:val="000000"/>
                <w:kern w:val="0"/>
                <w:sz w:val="22"/>
              </w:rPr>
              <w:t>锂离子电池（万只）</w:t>
            </w:r>
          </w:p>
        </w:tc>
        <w:tc>
          <w:tcPr>
            <w:tcW w:w="1842" w:type="dxa"/>
            <w:tcBorders>
              <w:top w:val="nil"/>
              <w:bottom w:val="single" w:sz="4" w:space="0" w:color="auto"/>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9685.9</w:t>
            </w:r>
          </w:p>
        </w:tc>
        <w:tc>
          <w:tcPr>
            <w:tcW w:w="1889" w:type="dxa"/>
            <w:tcBorders>
              <w:top w:val="nil"/>
              <w:bottom w:val="single" w:sz="4" w:space="0" w:color="auto"/>
            </w:tcBorders>
            <w:shd w:val="clear" w:color="auto" w:fill="auto"/>
            <w:noWrap/>
            <w:vAlign w:val="center"/>
            <w:hideMark/>
          </w:tcPr>
          <w:p w:rsidR="005206DB" w:rsidRPr="005206DB" w:rsidRDefault="005206DB" w:rsidP="005206DB">
            <w:pPr>
              <w:widowControl/>
              <w:jc w:val="center"/>
              <w:rPr>
                <w:rFonts w:ascii="宋体" w:eastAsia="宋体" w:hAnsi="宋体" w:cs="宋体"/>
                <w:color w:val="000000"/>
                <w:kern w:val="0"/>
                <w:sz w:val="22"/>
              </w:rPr>
            </w:pPr>
            <w:r w:rsidRPr="005206DB">
              <w:rPr>
                <w:rFonts w:ascii="宋体" w:eastAsia="宋体" w:hAnsi="宋体" w:cs="宋体" w:hint="eastAsia"/>
                <w:color w:val="000000"/>
                <w:kern w:val="0"/>
                <w:sz w:val="22"/>
              </w:rPr>
              <w:t>783.6</w:t>
            </w:r>
          </w:p>
        </w:tc>
      </w:tr>
    </w:tbl>
    <w:p w:rsidR="00394A3C" w:rsidRPr="00060852" w:rsidRDefault="00394A3C" w:rsidP="002D2C0F">
      <w:pPr>
        <w:spacing w:beforeLines="50" w:before="156"/>
        <w:ind w:firstLineChars="200" w:firstLine="640"/>
        <w:rPr>
          <w:rFonts w:ascii="仿宋" w:eastAsia="仿宋" w:hAnsi="仿宋"/>
          <w:color w:val="000000" w:themeColor="text1"/>
          <w:sz w:val="32"/>
          <w:szCs w:val="32"/>
        </w:rPr>
      </w:pPr>
      <w:r w:rsidRPr="00060852">
        <w:rPr>
          <w:rFonts w:ascii="仿宋" w:eastAsia="仿宋" w:hAnsi="仿宋" w:hint="eastAsia"/>
          <w:color w:val="000000" w:themeColor="text1"/>
          <w:sz w:val="32"/>
          <w:szCs w:val="32"/>
        </w:rPr>
        <w:t>全年</w:t>
      </w:r>
      <w:r w:rsidR="00EB0982">
        <w:rPr>
          <w:rFonts w:ascii="仿宋" w:eastAsia="仿宋" w:hAnsi="仿宋" w:hint="eastAsia"/>
          <w:color w:val="000000" w:themeColor="text1"/>
          <w:sz w:val="32"/>
          <w:szCs w:val="32"/>
        </w:rPr>
        <w:t>全市</w:t>
      </w:r>
      <w:r w:rsidR="00FC11D0">
        <w:rPr>
          <w:rFonts w:ascii="仿宋" w:eastAsia="仿宋" w:hAnsi="仿宋" w:hint="eastAsia"/>
          <w:color w:val="000000" w:themeColor="text1"/>
          <w:sz w:val="32"/>
          <w:szCs w:val="32"/>
        </w:rPr>
        <w:t>规模</w:t>
      </w:r>
      <w:r w:rsidR="00FC11D0">
        <w:rPr>
          <w:rFonts w:ascii="仿宋" w:eastAsia="仿宋" w:hAnsi="仿宋"/>
          <w:color w:val="000000" w:themeColor="text1"/>
          <w:sz w:val="32"/>
          <w:szCs w:val="32"/>
        </w:rPr>
        <w:t>以上</w:t>
      </w:r>
      <w:r w:rsidRPr="00060852">
        <w:rPr>
          <w:rFonts w:ascii="仿宋" w:eastAsia="仿宋" w:hAnsi="仿宋"/>
          <w:color w:val="000000" w:themeColor="text1"/>
          <w:sz w:val="32"/>
          <w:szCs w:val="32"/>
        </w:rPr>
        <w:t>高新技术产业实现增加值</w:t>
      </w:r>
      <w:r w:rsidR="00060852" w:rsidRPr="00060852">
        <w:rPr>
          <w:rFonts w:ascii="仿宋" w:eastAsia="仿宋" w:hAnsi="仿宋"/>
          <w:color w:val="000000" w:themeColor="text1"/>
          <w:sz w:val="32"/>
          <w:szCs w:val="32"/>
        </w:rPr>
        <w:t>368.2</w:t>
      </w:r>
      <w:r w:rsidRPr="00060852">
        <w:rPr>
          <w:rFonts w:ascii="仿宋" w:eastAsia="仿宋" w:hAnsi="仿宋" w:hint="eastAsia"/>
          <w:color w:val="000000" w:themeColor="text1"/>
          <w:sz w:val="32"/>
          <w:szCs w:val="32"/>
        </w:rPr>
        <w:t>亿元</w:t>
      </w:r>
      <w:r w:rsidRPr="00060852">
        <w:rPr>
          <w:rFonts w:ascii="仿宋" w:eastAsia="仿宋" w:hAnsi="仿宋"/>
          <w:color w:val="000000" w:themeColor="text1"/>
          <w:sz w:val="32"/>
          <w:szCs w:val="32"/>
        </w:rPr>
        <w:t>，比上年增长</w:t>
      </w:r>
      <w:r w:rsidR="00060852" w:rsidRPr="00060852">
        <w:rPr>
          <w:rFonts w:ascii="仿宋" w:eastAsia="仿宋" w:hAnsi="仿宋"/>
          <w:color w:val="000000" w:themeColor="text1"/>
          <w:sz w:val="32"/>
          <w:szCs w:val="32"/>
        </w:rPr>
        <w:t>11.1</w:t>
      </w:r>
      <w:r w:rsidRPr="00060852">
        <w:rPr>
          <w:rFonts w:ascii="仿宋" w:eastAsia="仿宋" w:hAnsi="仿宋" w:hint="eastAsia"/>
          <w:color w:val="000000" w:themeColor="text1"/>
          <w:sz w:val="32"/>
          <w:szCs w:val="32"/>
        </w:rPr>
        <w:t>%；</w:t>
      </w:r>
      <w:r w:rsidRPr="00060852">
        <w:rPr>
          <w:rFonts w:ascii="仿宋" w:eastAsia="仿宋" w:hAnsi="仿宋"/>
          <w:color w:val="000000" w:themeColor="text1"/>
          <w:sz w:val="32"/>
          <w:szCs w:val="32"/>
        </w:rPr>
        <w:t>规模以上农产品加工业完成产值</w:t>
      </w:r>
      <w:r w:rsidR="00060852" w:rsidRPr="00060852">
        <w:rPr>
          <w:rFonts w:ascii="仿宋" w:eastAsia="仿宋" w:hAnsi="仿宋"/>
          <w:color w:val="000000" w:themeColor="text1"/>
          <w:sz w:val="32"/>
          <w:szCs w:val="32"/>
        </w:rPr>
        <w:t>297.4</w:t>
      </w:r>
      <w:r w:rsidRPr="00060852">
        <w:rPr>
          <w:rFonts w:ascii="仿宋" w:eastAsia="仿宋" w:hAnsi="仿宋" w:hint="eastAsia"/>
          <w:color w:val="000000" w:themeColor="text1"/>
          <w:sz w:val="32"/>
          <w:szCs w:val="32"/>
        </w:rPr>
        <w:t>亿元</w:t>
      </w:r>
      <w:r w:rsidRPr="00060852">
        <w:rPr>
          <w:rFonts w:ascii="仿宋" w:eastAsia="仿宋" w:hAnsi="仿宋"/>
          <w:color w:val="000000" w:themeColor="text1"/>
          <w:sz w:val="32"/>
          <w:szCs w:val="32"/>
        </w:rPr>
        <w:t>，比上年增长</w:t>
      </w:r>
      <w:r w:rsidR="00060852" w:rsidRPr="00060852">
        <w:rPr>
          <w:rFonts w:ascii="仿宋" w:eastAsia="仿宋" w:hAnsi="仿宋"/>
          <w:color w:val="000000" w:themeColor="text1"/>
          <w:sz w:val="32"/>
          <w:szCs w:val="32"/>
        </w:rPr>
        <w:t>5.3</w:t>
      </w:r>
      <w:r w:rsidRPr="00060852">
        <w:rPr>
          <w:rFonts w:ascii="仿宋" w:eastAsia="仿宋" w:hAnsi="仿宋" w:hint="eastAsia"/>
          <w:color w:val="000000" w:themeColor="text1"/>
          <w:sz w:val="32"/>
          <w:szCs w:val="32"/>
        </w:rPr>
        <w:t>%。</w:t>
      </w:r>
    </w:p>
    <w:p w:rsidR="00153465" w:rsidRPr="00BE7536" w:rsidRDefault="00153465" w:rsidP="002D2C0F">
      <w:pPr>
        <w:spacing w:beforeLines="50" w:before="156"/>
        <w:ind w:firstLineChars="200" w:firstLine="640"/>
        <w:rPr>
          <w:rFonts w:ascii="仿宋" w:eastAsia="仿宋" w:hAnsi="仿宋"/>
          <w:color w:val="000000" w:themeColor="text1"/>
          <w:sz w:val="32"/>
          <w:szCs w:val="32"/>
        </w:rPr>
      </w:pPr>
      <w:r w:rsidRPr="00BE7536">
        <w:rPr>
          <w:rFonts w:ascii="仿宋" w:eastAsia="仿宋" w:hAnsi="仿宋" w:hint="eastAsia"/>
          <w:color w:val="000000" w:themeColor="text1"/>
          <w:sz w:val="32"/>
          <w:szCs w:val="32"/>
        </w:rPr>
        <w:t>全年</w:t>
      </w:r>
      <w:r w:rsidR="00EB0982">
        <w:rPr>
          <w:rFonts w:ascii="仿宋" w:eastAsia="仿宋" w:hAnsi="仿宋" w:hint="eastAsia"/>
          <w:color w:val="000000" w:themeColor="text1"/>
          <w:sz w:val="32"/>
          <w:szCs w:val="32"/>
        </w:rPr>
        <w:t>全市</w:t>
      </w:r>
      <w:r w:rsidRPr="00BE7536">
        <w:rPr>
          <w:rFonts w:ascii="仿宋" w:eastAsia="仿宋" w:hAnsi="仿宋" w:hint="eastAsia"/>
          <w:color w:val="000000" w:themeColor="text1"/>
          <w:sz w:val="32"/>
          <w:szCs w:val="32"/>
        </w:rPr>
        <w:t>规模以上工业企业利润总额</w:t>
      </w:r>
      <w:r w:rsidRPr="00BE7536">
        <w:rPr>
          <w:rFonts w:ascii="仿宋" w:eastAsia="仿宋" w:hAnsi="仿宋"/>
          <w:color w:val="000000" w:themeColor="text1"/>
          <w:sz w:val="32"/>
          <w:szCs w:val="32"/>
        </w:rPr>
        <w:t>122.9</w:t>
      </w:r>
      <w:r w:rsidRPr="00BE7536">
        <w:rPr>
          <w:rFonts w:ascii="仿宋" w:eastAsia="仿宋" w:hAnsi="仿宋" w:hint="eastAsia"/>
          <w:color w:val="000000" w:themeColor="text1"/>
          <w:sz w:val="32"/>
          <w:szCs w:val="32"/>
        </w:rPr>
        <w:t>亿元，比上年下降</w:t>
      </w:r>
      <w:r w:rsidRPr="00BE7536">
        <w:rPr>
          <w:rFonts w:ascii="仿宋" w:eastAsia="仿宋" w:hAnsi="仿宋"/>
          <w:color w:val="000000" w:themeColor="text1"/>
          <w:sz w:val="32"/>
          <w:szCs w:val="32"/>
        </w:rPr>
        <w:t>52.7%</w:t>
      </w:r>
      <w:r w:rsidRPr="00BE7536">
        <w:rPr>
          <w:rFonts w:ascii="仿宋" w:eastAsia="仿宋" w:hAnsi="仿宋" w:hint="eastAsia"/>
          <w:color w:val="000000" w:themeColor="text1"/>
          <w:sz w:val="32"/>
          <w:szCs w:val="32"/>
        </w:rPr>
        <w:t>。分经济类型看，国有控股企业利润</w:t>
      </w:r>
      <w:r w:rsidRPr="00BE7536">
        <w:rPr>
          <w:rFonts w:ascii="仿宋" w:eastAsia="仿宋" w:hAnsi="仿宋"/>
          <w:color w:val="000000" w:themeColor="text1"/>
          <w:sz w:val="32"/>
          <w:szCs w:val="32"/>
        </w:rPr>
        <w:t>43.4</w:t>
      </w:r>
      <w:r w:rsidRPr="00BE7536">
        <w:rPr>
          <w:rFonts w:ascii="仿宋" w:eastAsia="仿宋" w:hAnsi="仿宋" w:hint="eastAsia"/>
          <w:color w:val="000000" w:themeColor="text1"/>
          <w:sz w:val="32"/>
          <w:szCs w:val="32"/>
        </w:rPr>
        <w:t>亿元，比上年下降</w:t>
      </w:r>
      <w:r w:rsidRPr="00BE7536">
        <w:rPr>
          <w:rFonts w:ascii="仿宋" w:eastAsia="仿宋" w:hAnsi="仿宋"/>
          <w:color w:val="000000" w:themeColor="text1"/>
          <w:sz w:val="32"/>
          <w:szCs w:val="32"/>
        </w:rPr>
        <w:t>77.1%</w:t>
      </w:r>
      <w:r w:rsidRPr="00BE7536">
        <w:rPr>
          <w:rFonts w:ascii="仿宋" w:eastAsia="仿宋" w:hAnsi="仿宋" w:hint="eastAsia"/>
          <w:color w:val="000000" w:themeColor="text1"/>
          <w:sz w:val="32"/>
          <w:szCs w:val="32"/>
        </w:rPr>
        <w:t>；股份制企业</w:t>
      </w:r>
      <w:r w:rsidRPr="00BE7536">
        <w:rPr>
          <w:rFonts w:ascii="仿宋" w:eastAsia="仿宋" w:hAnsi="仿宋"/>
          <w:color w:val="000000" w:themeColor="text1"/>
          <w:sz w:val="32"/>
          <w:szCs w:val="32"/>
        </w:rPr>
        <w:t>88.9</w:t>
      </w:r>
      <w:r w:rsidRPr="00BE7536">
        <w:rPr>
          <w:rFonts w:ascii="仿宋" w:eastAsia="仿宋" w:hAnsi="仿宋" w:hint="eastAsia"/>
          <w:color w:val="000000" w:themeColor="text1"/>
          <w:sz w:val="32"/>
          <w:szCs w:val="32"/>
        </w:rPr>
        <w:t>亿元，下降</w:t>
      </w:r>
      <w:r w:rsidRPr="00BE7536">
        <w:rPr>
          <w:rFonts w:ascii="仿宋" w:eastAsia="仿宋" w:hAnsi="仿宋"/>
          <w:color w:val="000000" w:themeColor="text1"/>
          <w:sz w:val="32"/>
          <w:szCs w:val="32"/>
        </w:rPr>
        <w:t>15%</w:t>
      </w:r>
      <w:r w:rsidRPr="00BE7536">
        <w:rPr>
          <w:rFonts w:ascii="仿宋" w:eastAsia="仿宋" w:hAnsi="仿宋" w:hint="eastAsia"/>
          <w:color w:val="000000" w:themeColor="text1"/>
          <w:sz w:val="32"/>
          <w:szCs w:val="32"/>
        </w:rPr>
        <w:t>，外商及港澳台商投资企业</w:t>
      </w:r>
      <w:r w:rsidRPr="00BE7536">
        <w:rPr>
          <w:rFonts w:ascii="仿宋" w:eastAsia="仿宋" w:hAnsi="仿宋"/>
          <w:color w:val="000000" w:themeColor="text1"/>
          <w:sz w:val="32"/>
          <w:szCs w:val="32"/>
        </w:rPr>
        <w:t>32.5</w:t>
      </w:r>
      <w:r w:rsidRPr="00BE7536">
        <w:rPr>
          <w:rFonts w:ascii="仿宋" w:eastAsia="仿宋" w:hAnsi="仿宋" w:hint="eastAsia"/>
          <w:color w:val="000000" w:themeColor="text1"/>
          <w:sz w:val="32"/>
          <w:szCs w:val="32"/>
        </w:rPr>
        <w:t>亿元，增长4.9</w:t>
      </w:r>
      <w:r w:rsidRPr="00BE7536">
        <w:rPr>
          <w:rFonts w:ascii="仿宋" w:eastAsia="仿宋" w:hAnsi="仿宋"/>
          <w:color w:val="000000" w:themeColor="text1"/>
          <w:sz w:val="32"/>
          <w:szCs w:val="32"/>
        </w:rPr>
        <w:t>%</w:t>
      </w:r>
      <w:r w:rsidRPr="00BE7536">
        <w:rPr>
          <w:rFonts w:ascii="仿宋" w:eastAsia="仿宋" w:hAnsi="仿宋" w:hint="eastAsia"/>
          <w:color w:val="000000" w:themeColor="text1"/>
          <w:sz w:val="32"/>
          <w:szCs w:val="32"/>
        </w:rPr>
        <w:t>；私营企业</w:t>
      </w:r>
      <w:r w:rsidR="00C5666A">
        <w:rPr>
          <w:rFonts w:ascii="仿宋" w:eastAsia="仿宋" w:hAnsi="仿宋"/>
          <w:color w:val="000000" w:themeColor="text1"/>
          <w:sz w:val="32"/>
          <w:szCs w:val="32"/>
        </w:rPr>
        <w:t>49.1</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1</w:t>
      </w:r>
      <w:r w:rsidR="00C5666A">
        <w:rPr>
          <w:rFonts w:ascii="仿宋" w:eastAsia="仿宋" w:hAnsi="仿宋"/>
          <w:color w:val="000000" w:themeColor="text1"/>
          <w:sz w:val="32"/>
          <w:szCs w:val="32"/>
        </w:rPr>
        <w:t>6.9</w:t>
      </w:r>
      <w:r w:rsidRPr="00BE7536">
        <w:rPr>
          <w:rFonts w:ascii="仿宋" w:eastAsia="仿宋" w:hAnsi="仿宋"/>
          <w:color w:val="000000" w:themeColor="text1"/>
          <w:sz w:val="32"/>
          <w:szCs w:val="32"/>
        </w:rPr>
        <w:t>%</w:t>
      </w:r>
      <w:r w:rsidRPr="00BE7536">
        <w:rPr>
          <w:rFonts w:ascii="仿宋" w:eastAsia="仿宋" w:hAnsi="仿宋" w:hint="eastAsia"/>
          <w:color w:val="000000" w:themeColor="text1"/>
          <w:sz w:val="32"/>
          <w:szCs w:val="32"/>
        </w:rPr>
        <w:t>。</w:t>
      </w:r>
      <w:r w:rsidRPr="00153465">
        <w:rPr>
          <w:rFonts w:ascii="仿宋" w:eastAsia="仿宋" w:hAnsi="仿宋"/>
          <w:color w:val="000000" w:themeColor="text1"/>
          <w:sz w:val="32"/>
          <w:szCs w:val="32"/>
        </w:rPr>
        <w:t>分门类看，2019年末采矿业利润1.77亿元，比上年增长63.3%；制造业124.49亿元，下降51.7%；电力、热力、燃气及水生产和供应业-3.34亿元，下降</w:t>
      </w:r>
      <w:r>
        <w:rPr>
          <w:rFonts w:ascii="仿宋" w:eastAsia="仿宋" w:hAnsi="仿宋"/>
          <w:color w:val="000000" w:themeColor="text1"/>
          <w:sz w:val="32"/>
          <w:szCs w:val="32"/>
        </w:rPr>
        <w:t>488.9</w:t>
      </w:r>
      <w:r w:rsidRPr="00153465">
        <w:rPr>
          <w:rFonts w:ascii="仿宋" w:eastAsia="仿宋" w:hAnsi="仿宋"/>
          <w:color w:val="000000" w:themeColor="text1"/>
          <w:sz w:val="32"/>
          <w:szCs w:val="32"/>
        </w:rPr>
        <w:t>%。</w:t>
      </w:r>
      <w:r w:rsidRPr="00BE7536">
        <w:rPr>
          <w:rFonts w:ascii="仿宋" w:eastAsia="仿宋" w:hAnsi="仿宋" w:hint="eastAsia"/>
          <w:color w:val="000000" w:themeColor="text1"/>
          <w:sz w:val="32"/>
          <w:szCs w:val="32"/>
        </w:rPr>
        <w:t>全年规模以上工业企业每百元营业收入中的成本为</w:t>
      </w:r>
      <w:r w:rsidRPr="00BE7536">
        <w:rPr>
          <w:rFonts w:ascii="仿宋" w:eastAsia="仿宋" w:hAnsi="仿宋"/>
          <w:color w:val="000000" w:themeColor="text1"/>
          <w:sz w:val="32"/>
          <w:szCs w:val="32"/>
        </w:rPr>
        <w:t>85.41</w:t>
      </w:r>
      <w:r w:rsidRPr="00BE7536">
        <w:rPr>
          <w:rFonts w:ascii="仿宋" w:eastAsia="仿宋" w:hAnsi="仿宋" w:hint="eastAsia"/>
          <w:color w:val="000000" w:themeColor="text1"/>
          <w:sz w:val="32"/>
          <w:szCs w:val="32"/>
        </w:rPr>
        <w:t>元，</w:t>
      </w:r>
      <w:r w:rsidRPr="00BE7536">
        <w:rPr>
          <w:rFonts w:ascii="仿宋" w:eastAsia="仿宋" w:hAnsi="仿宋" w:hint="eastAsia"/>
          <w:color w:val="000000" w:themeColor="text1"/>
          <w:sz w:val="32"/>
          <w:szCs w:val="32"/>
        </w:rPr>
        <w:lastRenderedPageBreak/>
        <w:t>比上年减少</w:t>
      </w:r>
      <w:r w:rsidRPr="00BE7536">
        <w:rPr>
          <w:rFonts w:ascii="仿宋" w:eastAsia="仿宋" w:hAnsi="仿宋"/>
          <w:color w:val="000000" w:themeColor="text1"/>
          <w:sz w:val="32"/>
          <w:szCs w:val="32"/>
        </w:rPr>
        <w:t>0.51</w:t>
      </w:r>
      <w:r w:rsidRPr="00BE7536">
        <w:rPr>
          <w:rFonts w:ascii="仿宋" w:eastAsia="仿宋" w:hAnsi="仿宋" w:hint="eastAsia"/>
          <w:color w:val="000000" w:themeColor="text1"/>
          <w:sz w:val="32"/>
          <w:szCs w:val="32"/>
        </w:rPr>
        <w:t>元；营业收入利润率为</w:t>
      </w:r>
      <w:r w:rsidRPr="00BE7536">
        <w:rPr>
          <w:rFonts w:ascii="仿宋" w:eastAsia="仿宋" w:hAnsi="仿宋"/>
          <w:color w:val="000000" w:themeColor="text1"/>
          <w:sz w:val="32"/>
          <w:szCs w:val="32"/>
        </w:rPr>
        <w:t>5.96%</w:t>
      </w:r>
      <w:r w:rsidRPr="00BE7536">
        <w:rPr>
          <w:rFonts w:ascii="仿宋" w:eastAsia="仿宋" w:hAnsi="仿宋" w:hint="eastAsia"/>
          <w:color w:val="000000" w:themeColor="text1"/>
          <w:sz w:val="32"/>
          <w:szCs w:val="32"/>
        </w:rPr>
        <w:t>，下降</w:t>
      </w:r>
      <w:r w:rsidRPr="00BE7536">
        <w:rPr>
          <w:rFonts w:ascii="仿宋" w:eastAsia="仿宋" w:hAnsi="仿宋"/>
          <w:color w:val="000000" w:themeColor="text1"/>
          <w:sz w:val="32"/>
          <w:szCs w:val="32"/>
        </w:rPr>
        <w:t>6.42</w:t>
      </w:r>
      <w:r w:rsidRPr="00BE7536">
        <w:rPr>
          <w:rFonts w:ascii="仿宋" w:eastAsia="仿宋" w:hAnsi="仿宋" w:hint="eastAsia"/>
          <w:color w:val="000000" w:themeColor="text1"/>
          <w:sz w:val="32"/>
          <w:szCs w:val="32"/>
        </w:rPr>
        <w:t>个百分点。</w:t>
      </w:r>
    </w:p>
    <w:p w:rsidR="00153465" w:rsidRPr="00C375E7" w:rsidRDefault="00C375E7" w:rsidP="00C375E7">
      <w:pPr>
        <w:ind w:leftChars="50" w:left="105" w:firstLineChars="200" w:firstLine="640"/>
        <w:rPr>
          <w:rFonts w:ascii="仿宋" w:eastAsia="仿宋" w:hAnsi="仿宋"/>
          <w:color w:val="000000" w:themeColor="text1"/>
          <w:sz w:val="32"/>
          <w:szCs w:val="32"/>
        </w:rPr>
      </w:pPr>
      <w:r w:rsidRPr="00C375E7">
        <w:rPr>
          <w:rFonts w:ascii="仿宋" w:eastAsia="仿宋" w:hAnsi="仿宋" w:hint="eastAsia"/>
          <w:color w:val="000000" w:themeColor="text1"/>
          <w:sz w:val="32"/>
          <w:szCs w:val="32"/>
        </w:rPr>
        <w:t>全</w:t>
      </w:r>
      <w:r w:rsidR="00400A01">
        <w:rPr>
          <w:rFonts w:ascii="仿宋" w:eastAsia="仿宋" w:hAnsi="仿宋"/>
          <w:color w:val="000000" w:themeColor="text1"/>
          <w:sz w:val="32"/>
          <w:szCs w:val="32"/>
        </w:rPr>
        <w:t>年</w:t>
      </w:r>
      <w:r w:rsidR="00EB0982">
        <w:rPr>
          <w:rFonts w:ascii="仿宋" w:eastAsia="仿宋" w:hAnsi="仿宋" w:hint="eastAsia"/>
          <w:color w:val="000000" w:themeColor="text1"/>
          <w:sz w:val="32"/>
          <w:szCs w:val="32"/>
        </w:rPr>
        <w:t>全市</w:t>
      </w:r>
      <w:r w:rsidRPr="00C375E7">
        <w:rPr>
          <w:rFonts w:ascii="仿宋" w:eastAsia="仿宋" w:hAnsi="仿宋"/>
          <w:color w:val="000000" w:themeColor="text1"/>
          <w:sz w:val="32"/>
          <w:szCs w:val="32"/>
        </w:rPr>
        <w:t>资质以上建筑业企业完成建筑业总产值534.7</w:t>
      </w:r>
      <w:r w:rsidR="002F78CF">
        <w:rPr>
          <w:rFonts w:ascii="仿宋" w:eastAsia="仿宋" w:hAnsi="仿宋"/>
          <w:color w:val="000000" w:themeColor="text1"/>
          <w:sz w:val="32"/>
          <w:szCs w:val="32"/>
        </w:rPr>
        <w:t>亿元，</w:t>
      </w:r>
      <w:r w:rsidR="002F78CF">
        <w:rPr>
          <w:rFonts w:ascii="仿宋" w:eastAsia="仿宋" w:hAnsi="仿宋" w:hint="eastAsia"/>
          <w:color w:val="000000" w:themeColor="text1"/>
          <w:sz w:val="32"/>
          <w:szCs w:val="32"/>
        </w:rPr>
        <w:t>比</w:t>
      </w:r>
      <w:r w:rsidR="002F78CF">
        <w:rPr>
          <w:rFonts w:ascii="仿宋" w:eastAsia="仿宋" w:hAnsi="仿宋"/>
          <w:color w:val="000000" w:themeColor="text1"/>
          <w:sz w:val="32"/>
          <w:szCs w:val="32"/>
        </w:rPr>
        <w:t>上年</w:t>
      </w:r>
      <w:r w:rsidRPr="00C375E7">
        <w:rPr>
          <w:rFonts w:ascii="仿宋" w:eastAsia="仿宋" w:hAnsi="仿宋"/>
          <w:color w:val="000000" w:themeColor="text1"/>
          <w:sz w:val="32"/>
          <w:szCs w:val="32"/>
        </w:rPr>
        <w:t>增长11.5%；</w:t>
      </w:r>
      <w:r w:rsidR="00153465" w:rsidRPr="00BE7536">
        <w:rPr>
          <w:rFonts w:ascii="仿宋" w:eastAsia="仿宋" w:hAnsi="仿宋" w:hint="eastAsia"/>
          <w:color w:val="000000" w:themeColor="text1"/>
          <w:sz w:val="32"/>
          <w:szCs w:val="32"/>
        </w:rPr>
        <w:t>建筑业增加值</w:t>
      </w:r>
      <w:r w:rsidR="00153465" w:rsidRPr="00BE7536">
        <w:rPr>
          <w:rFonts w:ascii="仿宋" w:eastAsia="仿宋" w:hAnsi="仿宋"/>
          <w:color w:val="000000" w:themeColor="text1"/>
          <w:sz w:val="32"/>
          <w:szCs w:val="32"/>
        </w:rPr>
        <w:t>127.7</w:t>
      </w:r>
      <w:r w:rsidR="00153465" w:rsidRPr="00BE7536">
        <w:rPr>
          <w:rFonts w:ascii="仿宋" w:eastAsia="仿宋" w:hAnsi="仿宋" w:hint="eastAsia"/>
          <w:color w:val="000000" w:themeColor="text1"/>
          <w:sz w:val="32"/>
          <w:szCs w:val="32"/>
        </w:rPr>
        <w:t>亿元，比上年增长</w:t>
      </w:r>
      <w:r w:rsidR="001F1FA8">
        <w:rPr>
          <w:rFonts w:ascii="仿宋" w:eastAsia="仿宋" w:hAnsi="仿宋"/>
          <w:color w:val="000000" w:themeColor="text1"/>
          <w:sz w:val="32"/>
          <w:szCs w:val="32"/>
        </w:rPr>
        <w:t>9.9</w:t>
      </w:r>
      <w:r w:rsidR="00153465" w:rsidRPr="00BE7536">
        <w:rPr>
          <w:rFonts w:ascii="仿宋" w:eastAsia="仿宋" w:hAnsi="仿宋"/>
          <w:color w:val="000000" w:themeColor="text1"/>
          <w:sz w:val="32"/>
          <w:szCs w:val="32"/>
        </w:rPr>
        <w:t>%</w:t>
      </w:r>
      <w:r w:rsidR="00153465" w:rsidRPr="00BE7536">
        <w:rPr>
          <w:rFonts w:ascii="仿宋" w:eastAsia="仿宋" w:hAnsi="仿宋" w:hint="eastAsia"/>
          <w:color w:val="000000" w:themeColor="text1"/>
          <w:sz w:val="32"/>
          <w:szCs w:val="32"/>
        </w:rPr>
        <w:t>。</w:t>
      </w:r>
    </w:p>
    <w:p w:rsidR="00153465" w:rsidRPr="00266041" w:rsidRDefault="00153465" w:rsidP="00153465">
      <w:pPr>
        <w:widowControl/>
        <w:shd w:val="clear" w:color="auto" w:fill="FFFFFF"/>
        <w:ind w:firstLineChars="200" w:firstLine="640"/>
        <w:rPr>
          <w:rFonts w:ascii="黑体" w:eastAsia="黑体" w:hAnsi="黑体" w:cs="宋体"/>
          <w:kern w:val="0"/>
          <w:sz w:val="32"/>
          <w:szCs w:val="32"/>
          <w:shd w:val="clear" w:color="auto" w:fill="FFFFFF"/>
        </w:rPr>
      </w:pPr>
      <w:r w:rsidRPr="00266041">
        <w:rPr>
          <w:rFonts w:ascii="黑体" w:eastAsia="黑体" w:hAnsi="黑体" w:cs="宋体" w:hint="eastAsia"/>
          <w:kern w:val="0"/>
          <w:sz w:val="32"/>
          <w:szCs w:val="32"/>
          <w:shd w:val="clear" w:color="auto" w:fill="FFFFFF"/>
        </w:rPr>
        <w:t>四</w:t>
      </w:r>
      <w:r w:rsidRPr="00266041">
        <w:rPr>
          <w:rFonts w:ascii="黑体" w:eastAsia="黑体" w:hAnsi="黑体" w:cs="宋体"/>
          <w:kern w:val="0"/>
          <w:sz w:val="32"/>
          <w:szCs w:val="32"/>
          <w:shd w:val="clear" w:color="auto" w:fill="FFFFFF"/>
        </w:rPr>
        <w:t>、服务业</w:t>
      </w:r>
    </w:p>
    <w:p w:rsidR="00E33AA0" w:rsidRDefault="00153465" w:rsidP="00153465">
      <w:pPr>
        <w:ind w:firstLineChars="200" w:firstLine="640"/>
        <w:rPr>
          <w:rFonts w:ascii="仿宋" w:eastAsia="仿宋" w:hAnsi="仿宋"/>
          <w:color w:val="000000" w:themeColor="text1"/>
          <w:sz w:val="32"/>
          <w:szCs w:val="32"/>
        </w:rPr>
      </w:pPr>
      <w:r w:rsidRPr="00BE7536">
        <w:rPr>
          <w:rFonts w:ascii="仿宋" w:eastAsia="仿宋" w:hAnsi="仿宋" w:hint="eastAsia"/>
          <w:color w:val="000000" w:themeColor="text1"/>
          <w:sz w:val="32"/>
          <w:szCs w:val="32"/>
        </w:rPr>
        <w:t>全年</w:t>
      </w:r>
      <w:r w:rsidR="00EB0982">
        <w:rPr>
          <w:rFonts w:ascii="仿宋" w:eastAsia="仿宋" w:hAnsi="仿宋" w:hint="eastAsia"/>
          <w:color w:val="000000" w:themeColor="text1"/>
          <w:sz w:val="32"/>
          <w:szCs w:val="32"/>
        </w:rPr>
        <w:t>全市</w:t>
      </w:r>
      <w:r w:rsidRPr="00BE7536">
        <w:rPr>
          <w:rFonts w:ascii="仿宋" w:eastAsia="仿宋" w:hAnsi="仿宋" w:hint="eastAsia"/>
          <w:color w:val="000000" w:themeColor="text1"/>
          <w:sz w:val="32"/>
          <w:szCs w:val="32"/>
        </w:rPr>
        <w:t>批发和零售业增加值</w:t>
      </w:r>
      <w:r w:rsidR="00232479">
        <w:rPr>
          <w:rFonts w:ascii="仿宋" w:eastAsia="仿宋" w:hAnsi="仿宋"/>
          <w:color w:val="000000" w:themeColor="text1"/>
          <w:sz w:val="32"/>
          <w:szCs w:val="32"/>
        </w:rPr>
        <w:t>160.1</w:t>
      </w:r>
      <w:r w:rsidRPr="00BE7536">
        <w:rPr>
          <w:rFonts w:ascii="仿宋" w:eastAsia="仿宋" w:hAnsi="仿宋" w:hint="eastAsia"/>
          <w:color w:val="000000" w:themeColor="text1"/>
          <w:sz w:val="32"/>
          <w:szCs w:val="32"/>
        </w:rPr>
        <w:t>亿元，比上年增长</w:t>
      </w:r>
      <w:r w:rsidRPr="00BE7536">
        <w:rPr>
          <w:rFonts w:ascii="仿宋" w:eastAsia="仿宋" w:hAnsi="仿宋"/>
          <w:color w:val="000000" w:themeColor="text1"/>
          <w:sz w:val="32"/>
          <w:szCs w:val="32"/>
        </w:rPr>
        <w:t>5.7%</w:t>
      </w:r>
      <w:r w:rsidRPr="00BE7536">
        <w:rPr>
          <w:rFonts w:ascii="仿宋" w:eastAsia="仿宋" w:hAnsi="仿宋" w:hint="eastAsia"/>
          <w:color w:val="000000" w:themeColor="text1"/>
          <w:sz w:val="32"/>
          <w:szCs w:val="32"/>
        </w:rPr>
        <w:t>；交通运输、仓储和邮政业增加值</w:t>
      </w:r>
      <w:r w:rsidR="00232479">
        <w:rPr>
          <w:rFonts w:ascii="仿宋" w:eastAsia="仿宋" w:hAnsi="仿宋"/>
          <w:color w:val="000000" w:themeColor="text1"/>
          <w:sz w:val="32"/>
          <w:szCs w:val="32"/>
        </w:rPr>
        <w:t>95.0</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7.8%</w:t>
      </w:r>
      <w:r w:rsidRPr="00BE7536">
        <w:rPr>
          <w:rFonts w:ascii="仿宋" w:eastAsia="仿宋" w:hAnsi="仿宋" w:hint="eastAsia"/>
          <w:color w:val="000000" w:themeColor="text1"/>
          <w:sz w:val="32"/>
          <w:szCs w:val="32"/>
        </w:rPr>
        <w:t>；住宿和餐饮业增加值</w:t>
      </w:r>
      <w:r w:rsidR="00232479">
        <w:rPr>
          <w:rFonts w:ascii="仿宋" w:eastAsia="仿宋" w:hAnsi="仿宋"/>
          <w:color w:val="000000" w:themeColor="text1"/>
          <w:sz w:val="32"/>
          <w:szCs w:val="32"/>
        </w:rPr>
        <w:t>75.7</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9.7%</w:t>
      </w:r>
      <w:r w:rsidRPr="00BE7536">
        <w:rPr>
          <w:rFonts w:ascii="仿宋" w:eastAsia="仿宋" w:hAnsi="仿宋" w:hint="eastAsia"/>
          <w:color w:val="000000" w:themeColor="text1"/>
          <w:sz w:val="32"/>
          <w:szCs w:val="32"/>
        </w:rPr>
        <w:t>；金融业增加值</w:t>
      </w:r>
      <w:r w:rsidR="00232479">
        <w:rPr>
          <w:rFonts w:ascii="仿宋" w:eastAsia="仿宋" w:hAnsi="仿宋"/>
          <w:color w:val="000000" w:themeColor="text1"/>
          <w:sz w:val="32"/>
          <w:szCs w:val="32"/>
        </w:rPr>
        <w:t>94.0</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8.8%</w:t>
      </w:r>
      <w:r w:rsidRPr="00BE7536">
        <w:rPr>
          <w:rFonts w:ascii="仿宋" w:eastAsia="仿宋" w:hAnsi="仿宋" w:hint="eastAsia"/>
          <w:color w:val="000000" w:themeColor="text1"/>
          <w:sz w:val="32"/>
          <w:szCs w:val="32"/>
        </w:rPr>
        <w:t>；房地产业增加值</w:t>
      </w:r>
      <w:r w:rsidR="00232479">
        <w:rPr>
          <w:rFonts w:ascii="仿宋" w:eastAsia="仿宋" w:hAnsi="仿宋"/>
          <w:color w:val="000000" w:themeColor="text1"/>
          <w:sz w:val="32"/>
          <w:szCs w:val="32"/>
        </w:rPr>
        <w:t>127.1</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10.0%</w:t>
      </w:r>
      <w:r w:rsidRPr="00BE7536">
        <w:rPr>
          <w:rFonts w:ascii="仿宋" w:eastAsia="仿宋" w:hAnsi="仿宋" w:hint="eastAsia"/>
          <w:color w:val="000000" w:themeColor="text1"/>
          <w:sz w:val="32"/>
          <w:szCs w:val="32"/>
        </w:rPr>
        <w:t>；营利性服务业增加值</w:t>
      </w:r>
      <w:r w:rsidR="00232479">
        <w:rPr>
          <w:rFonts w:ascii="仿宋" w:eastAsia="仿宋" w:hAnsi="仿宋"/>
          <w:color w:val="000000" w:themeColor="text1"/>
          <w:sz w:val="32"/>
          <w:szCs w:val="32"/>
        </w:rPr>
        <w:t>194.7</w:t>
      </w:r>
      <w:r w:rsidRPr="00BE7536">
        <w:rPr>
          <w:rFonts w:ascii="仿宋" w:eastAsia="仿宋" w:hAnsi="仿宋" w:hint="eastAsia"/>
          <w:color w:val="000000" w:themeColor="text1"/>
          <w:sz w:val="32"/>
          <w:szCs w:val="32"/>
        </w:rPr>
        <w:t>亿元，增长</w:t>
      </w:r>
      <w:r w:rsidRPr="00BE7536">
        <w:rPr>
          <w:rFonts w:ascii="仿宋" w:eastAsia="仿宋" w:hAnsi="仿宋"/>
          <w:color w:val="000000" w:themeColor="text1"/>
          <w:sz w:val="32"/>
          <w:szCs w:val="32"/>
        </w:rPr>
        <w:t>16.9%</w:t>
      </w:r>
      <w:r w:rsidRPr="00BE7536">
        <w:rPr>
          <w:rFonts w:ascii="仿宋" w:eastAsia="仿宋" w:hAnsi="仿宋" w:hint="eastAsia"/>
          <w:color w:val="000000" w:themeColor="text1"/>
          <w:sz w:val="32"/>
          <w:szCs w:val="32"/>
        </w:rPr>
        <w:t>。</w:t>
      </w:r>
    </w:p>
    <w:p w:rsidR="00153465" w:rsidRDefault="00153465" w:rsidP="00153465">
      <w:pPr>
        <w:ind w:firstLineChars="200" w:firstLine="640"/>
        <w:rPr>
          <w:rFonts w:ascii="仿宋" w:eastAsia="仿宋" w:hAnsi="仿宋"/>
          <w:sz w:val="32"/>
          <w:szCs w:val="32"/>
        </w:rPr>
      </w:pPr>
      <w:r w:rsidRPr="009D61DE">
        <w:rPr>
          <w:rFonts w:ascii="仿宋" w:eastAsia="仿宋" w:hAnsi="仿宋" w:hint="eastAsia"/>
          <w:sz w:val="32"/>
          <w:szCs w:val="32"/>
        </w:rPr>
        <w:t>全年</w:t>
      </w:r>
      <w:r w:rsidR="00EB0982">
        <w:rPr>
          <w:rFonts w:ascii="仿宋" w:eastAsia="仿宋" w:hAnsi="仿宋" w:hint="eastAsia"/>
          <w:sz w:val="32"/>
          <w:szCs w:val="32"/>
        </w:rPr>
        <w:t>全市</w:t>
      </w:r>
      <w:r w:rsidRPr="009D61DE">
        <w:rPr>
          <w:rFonts w:ascii="仿宋" w:eastAsia="仿宋" w:hAnsi="仿宋" w:hint="eastAsia"/>
          <w:sz w:val="32"/>
          <w:szCs w:val="32"/>
        </w:rPr>
        <w:t>货物运输总量</w:t>
      </w:r>
      <w:r w:rsidRPr="009D61DE">
        <w:rPr>
          <w:rFonts w:ascii="仿宋" w:eastAsia="仿宋" w:hAnsi="仿宋"/>
          <w:sz w:val="32"/>
          <w:szCs w:val="32"/>
        </w:rPr>
        <w:t>7848</w:t>
      </w:r>
      <w:r w:rsidRPr="009D61DE">
        <w:rPr>
          <w:rFonts w:ascii="仿宋" w:eastAsia="仿宋" w:hAnsi="仿宋" w:hint="eastAsia"/>
          <w:sz w:val="32"/>
          <w:szCs w:val="32"/>
        </w:rPr>
        <w:t>万吨，货物运输周转量</w:t>
      </w:r>
      <w:r w:rsidRPr="009D61DE">
        <w:rPr>
          <w:rFonts w:ascii="仿宋" w:eastAsia="仿宋" w:hAnsi="仿宋"/>
          <w:sz w:val="32"/>
          <w:szCs w:val="32"/>
        </w:rPr>
        <w:t>161.59</w:t>
      </w:r>
      <w:r w:rsidRPr="009D61DE">
        <w:rPr>
          <w:rFonts w:ascii="仿宋" w:eastAsia="仿宋" w:hAnsi="仿宋" w:hint="eastAsia"/>
          <w:sz w:val="32"/>
          <w:szCs w:val="32"/>
        </w:rPr>
        <w:t>亿吨公里；旅客运输总量</w:t>
      </w:r>
      <w:r w:rsidRPr="009D61DE">
        <w:rPr>
          <w:rFonts w:ascii="仿宋" w:eastAsia="仿宋" w:hAnsi="仿宋"/>
          <w:sz w:val="32"/>
          <w:szCs w:val="32"/>
        </w:rPr>
        <w:t>3278</w:t>
      </w:r>
      <w:r w:rsidRPr="009D61DE">
        <w:rPr>
          <w:rFonts w:ascii="仿宋" w:eastAsia="仿宋" w:hAnsi="仿宋" w:hint="eastAsia"/>
          <w:sz w:val="32"/>
          <w:szCs w:val="32"/>
        </w:rPr>
        <w:t>万人次，比上年下降</w:t>
      </w:r>
      <w:r w:rsidRPr="009D61DE">
        <w:rPr>
          <w:rFonts w:ascii="仿宋" w:eastAsia="仿宋" w:hAnsi="仿宋"/>
          <w:sz w:val="32"/>
          <w:szCs w:val="32"/>
        </w:rPr>
        <w:t>2.4%</w:t>
      </w:r>
      <w:r w:rsidRPr="009D61DE">
        <w:rPr>
          <w:rFonts w:ascii="仿宋" w:eastAsia="仿宋" w:hAnsi="仿宋" w:hint="eastAsia"/>
          <w:sz w:val="32"/>
          <w:szCs w:val="32"/>
        </w:rPr>
        <w:t>；旅客运输周转量</w:t>
      </w:r>
      <w:r w:rsidRPr="009D61DE">
        <w:rPr>
          <w:rFonts w:ascii="仿宋" w:eastAsia="仿宋" w:hAnsi="仿宋"/>
          <w:sz w:val="32"/>
          <w:szCs w:val="32"/>
        </w:rPr>
        <w:t>29.84</w:t>
      </w:r>
      <w:r w:rsidRPr="009D61DE">
        <w:rPr>
          <w:rFonts w:ascii="仿宋" w:eastAsia="仿宋" w:hAnsi="仿宋" w:hint="eastAsia"/>
          <w:sz w:val="32"/>
          <w:szCs w:val="32"/>
        </w:rPr>
        <w:t>亿人公里，下降2.0</w:t>
      </w:r>
      <w:r w:rsidRPr="009D61DE">
        <w:rPr>
          <w:rFonts w:ascii="仿宋" w:eastAsia="仿宋" w:hAnsi="仿宋"/>
          <w:sz w:val="32"/>
          <w:szCs w:val="32"/>
        </w:rPr>
        <w:t>%</w:t>
      </w:r>
      <w:r w:rsidRPr="009D61DE">
        <w:rPr>
          <w:rFonts w:ascii="仿宋" w:eastAsia="仿宋" w:hAnsi="仿宋" w:hint="eastAsia"/>
          <w:sz w:val="32"/>
          <w:szCs w:val="32"/>
        </w:rPr>
        <w:t>。</w:t>
      </w:r>
    </w:p>
    <w:p w:rsidR="00AA226E" w:rsidRPr="009D61DE" w:rsidRDefault="00AA226E" w:rsidP="00C375E7">
      <w:pPr>
        <w:ind w:firstLineChars="200" w:firstLine="420"/>
        <w:jc w:val="center"/>
        <w:rPr>
          <w:rFonts w:ascii="仿宋" w:eastAsia="仿宋" w:hAnsi="仿宋"/>
          <w:sz w:val="32"/>
          <w:szCs w:val="32"/>
        </w:rPr>
      </w:pPr>
      <w:r>
        <w:rPr>
          <w:noProof/>
        </w:rPr>
        <w:drawing>
          <wp:inline distT="0" distB="0" distL="0" distR="0">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45D0" w:rsidRPr="00AA226E" w:rsidRDefault="00153465" w:rsidP="00AA226E">
      <w:pPr>
        <w:ind w:firstLineChars="200" w:firstLine="640"/>
        <w:rPr>
          <w:rFonts w:ascii="仿宋" w:eastAsia="仿宋" w:hAnsi="仿宋"/>
          <w:sz w:val="32"/>
          <w:szCs w:val="32"/>
        </w:rPr>
      </w:pPr>
      <w:r w:rsidRPr="00676926">
        <w:rPr>
          <w:rFonts w:ascii="仿宋" w:eastAsia="仿宋" w:hAnsi="仿宋" w:hint="eastAsia"/>
          <w:sz w:val="32"/>
          <w:szCs w:val="32"/>
        </w:rPr>
        <w:t>全</w:t>
      </w:r>
      <w:r w:rsidRPr="00676926">
        <w:rPr>
          <w:rFonts w:ascii="仿宋" w:eastAsia="仿宋" w:hAnsi="仿宋"/>
          <w:sz w:val="32"/>
          <w:szCs w:val="32"/>
        </w:rPr>
        <w:t>年</w:t>
      </w:r>
      <w:r w:rsidR="00EB0982">
        <w:rPr>
          <w:rFonts w:ascii="仿宋" w:eastAsia="仿宋" w:hAnsi="仿宋" w:hint="eastAsia"/>
          <w:sz w:val="32"/>
          <w:szCs w:val="32"/>
        </w:rPr>
        <w:t>全市</w:t>
      </w:r>
      <w:r w:rsidRPr="00676926">
        <w:rPr>
          <w:rFonts w:ascii="仿宋" w:eastAsia="仿宋" w:hAnsi="仿宋"/>
          <w:sz w:val="32"/>
          <w:szCs w:val="32"/>
        </w:rPr>
        <w:t>完成邮政行业业务总量8.92亿元，比上年增</w:t>
      </w:r>
      <w:r w:rsidRPr="00676926">
        <w:rPr>
          <w:rFonts w:ascii="仿宋" w:eastAsia="仿宋" w:hAnsi="仿宋"/>
          <w:sz w:val="32"/>
          <w:szCs w:val="32"/>
        </w:rPr>
        <w:lastRenderedPageBreak/>
        <w:t>长27.</w:t>
      </w:r>
      <w:r w:rsidR="000174AC">
        <w:rPr>
          <w:rFonts w:ascii="仿宋" w:eastAsia="仿宋" w:hAnsi="仿宋"/>
          <w:sz w:val="32"/>
          <w:szCs w:val="32"/>
        </w:rPr>
        <w:t>9</w:t>
      </w:r>
      <w:r w:rsidRPr="00676926">
        <w:rPr>
          <w:rFonts w:ascii="仿宋" w:eastAsia="仿宋" w:hAnsi="仿宋"/>
          <w:sz w:val="32"/>
          <w:szCs w:val="32"/>
        </w:rPr>
        <w:t>%。快递业务量1649.04万件，快递业务收入3.47亿元。</w:t>
      </w:r>
      <w:r w:rsidRPr="009D61DE">
        <w:rPr>
          <w:rFonts w:ascii="仿宋" w:eastAsia="仿宋" w:hAnsi="仿宋" w:hint="eastAsia"/>
          <w:sz w:val="32"/>
          <w:szCs w:val="32"/>
        </w:rPr>
        <w:t>规模以上服务业企业营业收入比上年增长</w:t>
      </w:r>
      <w:r w:rsidRPr="009D61DE">
        <w:rPr>
          <w:rFonts w:ascii="仿宋" w:eastAsia="仿宋" w:hAnsi="仿宋"/>
          <w:sz w:val="32"/>
          <w:szCs w:val="32"/>
        </w:rPr>
        <w:t>8.0%</w:t>
      </w:r>
      <w:r w:rsidRPr="009D61DE">
        <w:rPr>
          <w:rFonts w:ascii="仿宋" w:eastAsia="仿宋" w:hAnsi="仿宋" w:hint="eastAsia"/>
          <w:sz w:val="32"/>
          <w:szCs w:val="32"/>
        </w:rPr>
        <w:t>，营业利润下降3.3</w:t>
      </w:r>
      <w:r w:rsidRPr="009D61DE">
        <w:rPr>
          <w:rFonts w:ascii="仿宋" w:eastAsia="仿宋" w:hAnsi="仿宋"/>
          <w:sz w:val="32"/>
          <w:szCs w:val="32"/>
        </w:rPr>
        <w:t>%</w:t>
      </w:r>
      <w:r w:rsidRPr="009D61DE">
        <w:rPr>
          <w:rFonts w:ascii="仿宋" w:eastAsia="仿宋" w:hAnsi="仿宋" w:hint="eastAsia"/>
          <w:sz w:val="32"/>
          <w:szCs w:val="32"/>
        </w:rPr>
        <w:t>。</w:t>
      </w:r>
      <w:r w:rsidRPr="00C87860">
        <w:rPr>
          <w:rFonts w:ascii="仿宋" w:eastAsia="仿宋" w:hAnsi="仿宋"/>
          <w:sz w:val="32"/>
          <w:szCs w:val="32"/>
        </w:rPr>
        <w:t>软件和信息技术服务业完成软件业务收入0.53亿元，比上年增长15.2%。</w:t>
      </w:r>
    </w:p>
    <w:p w:rsidR="00153465" w:rsidRPr="00266041" w:rsidRDefault="00153465" w:rsidP="00E0497D">
      <w:pPr>
        <w:ind w:firstLineChars="200" w:firstLine="640"/>
        <w:rPr>
          <w:rFonts w:ascii="黑体" w:eastAsia="黑体" w:hAnsi="黑体" w:cs="宋体"/>
          <w:kern w:val="0"/>
          <w:sz w:val="32"/>
          <w:szCs w:val="32"/>
          <w:shd w:val="clear" w:color="auto" w:fill="FFFFFF"/>
        </w:rPr>
      </w:pPr>
      <w:r w:rsidRPr="00266041">
        <w:rPr>
          <w:rFonts w:ascii="黑体" w:eastAsia="黑体" w:hAnsi="黑体" w:cs="宋体" w:hint="eastAsia"/>
          <w:kern w:val="0"/>
          <w:sz w:val="32"/>
          <w:szCs w:val="32"/>
          <w:shd w:val="clear" w:color="auto" w:fill="FFFFFF"/>
        </w:rPr>
        <w:t>五</w:t>
      </w:r>
      <w:r w:rsidRPr="00266041">
        <w:rPr>
          <w:rFonts w:ascii="黑体" w:eastAsia="黑体" w:hAnsi="黑体" w:cs="宋体"/>
          <w:kern w:val="0"/>
          <w:sz w:val="32"/>
          <w:szCs w:val="32"/>
          <w:shd w:val="clear" w:color="auto" w:fill="FFFFFF"/>
        </w:rPr>
        <w:t>、</w:t>
      </w:r>
      <w:r w:rsidRPr="00266041">
        <w:rPr>
          <w:rFonts w:ascii="黑体" w:eastAsia="黑体" w:hAnsi="黑体" w:cs="宋体" w:hint="eastAsia"/>
          <w:kern w:val="0"/>
          <w:sz w:val="32"/>
          <w:szCs w:val="32"/>
          <w:shd w:val="clear" w:color="auto" w:fill="FFFFFF"/>
        </w:rPr>
        <w:t>贸易</w:t>
      </w:r>
    </w:p>
    <w:p w:rsidR="00284479" w:rsidRDefault="00153465" w:rsidP="00153465">
      <w:pPr>
        <w:ind w:firstLineChars="200" w:firstLine="640"/>
        <w:rPr>
          <w:rFonts w:ascii="仿宋" w:eastAsia="仿宋" w:hAnsi="仿宋"/>
          <w:sz w:val="32"/>
          <w:szCs w:val="32"/>
        </w:rPr>
      </w:pPr>
      <w:r w:rsidRPr="009D61DE">
        <w:rPr>
          <w:rFonts w:ascii="仿宋" w:eastAsia="仿宋" w:hAnsi="仿宋" w:hint="eastAsia"/>
          <w:sz w:val="32"/>
          <w:szCs w:val="32"/>
        </w:rPr>
        <w:t>全年</w:t>
      </w:r>
      <w:r w:rsidR="00EB0982">
        <w:rPr>
          <w:rFonts w:ascii="仿宋" w:eastAsia="仿宋" w:hAnsi="仿宋" w:hint="eastAsia"/>
          <w:sz w:val="32"/>
          <w:szCs w:val="32"/>
        </w:rPr>
        <w:t>全市</w:t>
      </w:r>
      <w:r w:rsidRPr="009D61DE">
        <w:rPr>
          <w:rFonts w:ascii="仿宋" w:eastAsia="仿宋" w:hAnsi="仿宋" w:hint="eastAsia"/>
          <w:sz w:val="32"/>
          <w:szCs w:val="32"/>
        </w:rPr>
        <w:t>社会消费品零售总额</w:t>
      </w:r>
      <w:r w:rsidRPr="009D61DE">
        <w:rPr>
          <w:rFonts w:ascii="仿宋" w:eastAsia="仿宋" w:hAnsi="仿宋"/>
          <w:sz w:val="32"/>
          <w:szCs w:val="32"/>
        </w:rPr>
        <w:t>1029.6</w:t>
      </w:r>
      <w:r w:rsidRPr="009D61DE">
        <w:rPr>
          <w:rFonts w:ascii="仿宋" w:eastAsia="仿宋" w:hAnsi="仿宋" w:hint="eastAsia"/>
          <w:sz w:val="32"/>
          <w:szCs w:val="32"/>
        </w:rPr>
        <w:t>亿元，比上年增长</w:t>
      </w:r>
      <w:r w:rsidRPr="009D61DE">
        <w:rPr>
          <w:rFonts w:ascii="仿宋" w:eastAsia="仿宋" w:hAnsi="仿宋"/>
          <w:sz w:val="32"/>
          <w:szCs w:val="32"/>
        </w:rPr>
        <w:t>12.5%</w:t>
      </w:r>
      <w:r w:rsidRPr="009D61DE">
        <w:rPr>
          <w:rFonts w:ascii="仿宋" w:eastAsia="仿宋" w:hAnsi="仿宋" w:hint="eastAsia"/>
          <w:sz w:val="32"/>
          <w:szCs w:val="32"/>
        </w:rPr>
        <w:t>。按经营地统计，城镇消费品零售额</w:t>
      </w:r>
      <w:r w:rsidRPr="009D61DE">
        <w:rPr>
          <w:rFonts w:ascii="仿宋" w:eastAsia="仿宋" w:hAnsi="仿宋"/>
          <w:sz w:val="32"/>
          <w:szCs w:val="32"/>
        </w:rPr>
        <w:t>839.1</w:t>
      </w:r>
      <w:r w:rsidRPr="009D61DE">
        <w:rPr>
          <w:rFonts w:ascii="仿宋" w:eastAsia="仿宋" w:hAnsi="仿宋" w:hint="eastAsia"/>
          <w:sz w:val="32"/>
          <w:szCs w:val="32"/>
        </w:rPr>
        <w:t>亿元，增长</w:t>
      </w:r>
      <w:r w:rsidRPr="009D61DE">
        <w:rPr>
          <w:rFonts w:ascii="仿宋" w:eastAsia="仿宋" w:hAnsi="仿宋"/>
          <w:sz w:val="32"/>
          <w:szCs w:val="32"/>
        </w:rPr>
        <w:t>12.3%</w:t>
      </w:r>
      <w:r w:rsidRPr="009D61DE">
        <w:rPr>
          <w:rFonts w:ascii="仿宋" w:eastAsia="仿宋" w:hAnsi="仿宋" w:hint="eastAsia"/>
          <w:sz w:val="32"/>
          <w:szCs w:val="32"/>
        </w:rPr>
        <w:t>；乡村消费品零售额</w:t>
      </w:r>
      <w:r w:rsidRPr="009D61DE">
        <w:rPr>
          <w:rFonts w:ascii="仿宋" w:eastAsia="仿宋" w:hAnsi="仿宋"/>
          <w:sz w:val="32"/>
          <w:szCs w:val="32"/>
        </w:rPr>
        <w:t>190.5</w:t>
      </w:r>
      <w:r w:rsidRPr="009D61DE">
        <w:rPr>
          <w:rFonts w:ascii="仿宋" w:eastAsia="仿宋" w:hAnsi="仿宋" w:hint="eastAsia"/>
          <w:sz w:val="32"/>
          <w:szCs w:val="32"/>
        </w:rPr>
        <w:t>亿元，增长</w:t>
      </w:r>
      <w:r w:rsidRPr="009D61DE">
        <w:rPr>
          <w:rFonts w:ascii="仿宋" w:eastAsia="仿宋" w:hAnsi="仿宋"/>
          <w:sz w:val="32"/>
          <w:szCs w:val="32"/>
        </w:rPr>
        <w:t>13.1%</w:t>
      </w:r>
      <w:r w:rsidRPr="009D61DE">
        <w:rPr>
          <w:rFonts w:ascii="仿宋" w:eastAsia="仿宋" w:hAnsi="仿宋" w:hint="eastAsia"/>
          <w:sz w:val="32"/>
          <w:szCs w:val="32"/>
        </w:rPr>
        <w:t>。按消费类型统计，限</w:t>
      </w:r>
      <w:r w:rsidRPr="009D61DE">
        <w:rPr>
          <w:rFonts w:ascii="仿宋" w:eastAsia="仿宋" w:hAnsi="仿宋"/>
          <w:sz w:val="32"/>
          <w:szCs w:val="32"/>
        </w:rPr>
        <w:t>额以上</w:t>
      </w:r>
      <w:r w:rsidRPr="009D61DE">
        <w:rPr>
          <w:rFonts w:ascii="仿宋" w:eastAsia="仿宋" w:hAnsi="仿宋" w:hint="eastAsia"/>
          <w:sz w:val="32"/>
          <w:szCs w:val="32"/>
        </w:rPr>
        <w:t>批</w:t>
      </w:r>
      <w:r w:rsidRPr="009D61DE">
        <w:rPr>
          <w:rFonts w:ascii="仿宋" w:eastAsia="仿宋" w:hAnsi="仿宋"/>
          <w:sz w:val="32"/>
          <w:szCs w:val="32"/>
        </w:rPr>
        <w:t>发和零售业</w:t>
      </w:r>
      <w:r w:rsidRPr="009D61DE">
        <w:rPr>
          <w:rFonts w:ascii="仿宋" w:eastAsia="仿宋" w:hAnsi="仿宋" w:hint="eastAsia"/>
          <w:sz w:val="32"/>
          <w:szCs w:val="32"/>
        </w:rPr>
        <w:t>销售总额</w:t>
      </w:r>
      <w:r w:rsidRPr="009D61DE">
        <w:rPr>
          <w:rFonts w:ascii="仿宋" w:eastAsia="仿宋" w:hAnsi="仿宋"/>
          <w:sz w:val="32"/>
          <w:szCs w:val="32"/>
        </w:rPr>
        <w:t>480.6</w:t>
      </w:r>
      <w:r w:rsidRPr="009D61DE">
        <w:rPr>
          <w:rFonts w:ascii="仿宋" w:eastAsia="仿宋" w:hAnsi="仿宋" w:hint="eastAsia"/>
          <w:sz w:val="32"/>
          <w:szCs w:val="32"/>
        </w:rPr>
        <w:t>亿元，增长</w:t>
      </w:r>
      <w:r w:rsidRPr="009D61DE">
        <w:rPr>
          <w:rFonts w:ascii="仿宋" w:eastAsia="仿宋" w:hAnsi="仿宋"/>
          <w:sz w:val="32"/>
          <w:szCs w:val="32"/>
        </w:rPr>
        <w:t>18.7%</w:t>
      </w:r>
      <w:r w:rsidRPr="009D61DE">
        <w:rPr>
          <w:rFonts w:ascii="仿宋" w:eastAsia="仿宋" w:hAnsi="仿宋" w:hint="eastAsia"/>
          <w:sz w:val="32"/>
          <w:szCs w:val="32"/>
        </w:rPr>
        <w:t>；限</w:t>
      </w:r>
      <w:r w:rsidRPr="009D61DE">
        <w:rPr>
          <w:rFonts w:ascii="仿宋" w:eastAsia="仿宋" w:hAnsi="仿宋"/>
          <w:sz w:val="32"/>
          <w:szCs w:val="32"/>
        </w:rPr>
        <w:t>额以上住宿和</w:t>
      </w:r>
      <w:r w:rsidRPr="009D61DE">
        <w:rPr>
          <w:rFonts w:ascii="仿宋" w:eastAsia="仿宋" w:hAnsi="仿宋" w:hint="eastAsia"/>
          <w:sz w:val="32"/>
          <w:szCs w:val="32"/>
        </w:rPr>
        <w:t>餐饮营业额</w:t>
      </w:r>
      <w:r w:rsidRPr="009D61DE">
        <w:rPr>
          <w:rFonts w:ascii="仿宋" w:eastAsia="仿宋" w:hAnsi="仿宋"/>
          <w:sz w:val="32"/>
          <w:szCs w:val="32"/>
        </w:rPr>
        <w:t>19.4</w:t>
      </w:r>
      <w:r w:rsidRPr="009D61DE">
        <w:rPr>
          <w:rFonts w:ascii="仿宋" w:eastAsia="仿宋" w:hAnsi="仿宋" w:hint="eastAsia"/>
          <w:sz w:val="32"/>
          <w:szCs w:val="32"/>
        </w:rPr>
        <w:t>亿元，增长</w:t>
      </w:r>
      <w:r w:rsidRPr="009D61DE">
        <w:rPr>
          <w:rFonts w:ascii="仿宋" w:eastAsia="仿宋" w:hAnsi="仿宋"/>
          <w:sz w:val="32"/>
          <w:szCs w:val="32"/>
        </w:rPr>
        <w:t>23.1%</w:t>
      </w:r>
      <w:r w:rsidRPr="009D61DE">
        <w:rPr>
          <w:rFonts w:ascii="仿宋" w:eastAsia="仿宋" w:hAnsi="仿宋" w:hint="eastAsia"/>
          <w:sz w:val="32"/>
          <w:szCs w:val="32"/>
        </w:rPr>
        <w:t>。</w:t>
      </w:r>
    </w:p>
    <w:p w:rsidR="009D1493" w:rsidRDefault="00284479" w:rsidP="002D2C0F">
      <w:pPr>
        <w:ind w:firstLineChars="200" w:firstLine="420"/>
        <w:rPr>
          <w:rFonts w:ascii="仿宋" w:eastAsia="仿宋" w:hAnsi="仿宋"/>
          <w:sz w:val="32"/>
          <w:szCs w:val="32"/>
        </w:rPr>
      </w:pPr>
      <w:r>
        <w:rPr>
          <w:noProof/>
        </w:rPr>
        <w:drawing>
          <wp:inline distT="0" distB="0" distL="0" distR="0">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3465" w:rsidRPr="00355AE3" w:rsidRDefault="00153465" w:rsidP="00153465">
      <w:pPr>
        <w:ind w:firstLineChars="200" w:firstLine="640"/>
        <w:rPr>
          <w:rFonts w:ascii="仿宋" w:eastAsia="仿宋" w:hAnsi="仿宋"/>
          <w:color w:val="000000" w:themeColor="text1"/>
          <w:sz w:val="32"/>
          <w:szCs w:val="32"/>
        </w:rPr>
      </w:pPr>
      <w:r w:rsidRPr="00355AE3">
        <w:rPr>
          <w:rFonts w:ascii="仿宋" w:eastAsia="仿宋" w:hAnsi="仿宋" w:hint="eastAsia"/>
          <w:color w:val="000000" w:themeColor="text1"/>
          <w:sz w:val="32"/>
          <w:szCs w:val="32"/>
        </w:rPr>
        <w:t>在限额以上单位商品零售额中，粮油、食品类零售额比上年增长</w:t>
      </w:r>
      <w:r w:rsidRPr="00355AE3">
        <w:rPr>
          <w:rFonts w:ascii="仿宋" w:eastAsia="仿宋" w:hAnsi="仿宋"/>
          <w:color w:val="000000" w:themeColor="text1"/>
          <w:sz w:val="32"/>
          <w:szCs w:val="32"/>
        </w:rPr>
        <w:t>22.6%</w:t>
      </w:r>
      <w:r w:rsidRPr="00355AE3">
        <w:rPr>
          <w:rFonts w:ascii="仿宋" w:eastAsia="仿宋" w:hAnsi="仿宋" w:hint="eastAsia"/>
          <w:color w:val="000000" w:themeColor="text1"/>
          <w:sz w:val="32"/>
          <w:szCs w:val="32"/>
        </w:rPr>
        <w:t>，饮料类增长</w:t>
      </w:r>
      <w:r w:rsidRPr="00355AE3">
        <w:rPr>
          <w:rFonts w:ascii="仿宋" w:eastAsia="仿宋" w:hAnsi="仿宋"/>
          <w:color w:val="000000" w:themeColor="text1"/>
          <w:sz w:val="32"/>
          <w:szCs w:val="32"/>
        </w:rPr>
        <w:t>14.2%</w:t>
      </w:r>
      <w:r w:rsidRPr="00355AE3">
        <w:rPr>
          <w:rFonts w:ascii="仿宋" w:eastAsia="仿宋" w:hAnsi="仿宋" w:hint="eastAsia"/>
          <w:color w:val="000000" w:themeColor="text1"/>
          <w:sz w:val="32"/>
          <w:szCs w:val="32"/>
        </w:rPr>
        <w:t>，烟酒类增长</w:t>
      </w:r>
      <w:r w:rsidRPr="00355AE3">
        <w:rPr>
          <w:rFonts w:ascii="仿宋" w:eastAsia="仿宋" w:hAnsi="仿宋"/>
          <w:color w:val="000000" w:themeColor="text1"/>
          <w:sz w:val="32"/>
          <w:szCs w:val="32"/>
        </w:rPr>
        <w:t>7.2%</w:t>
      </w:r>
      <w:r w:rsidRPr="00355AE3">
        <w:rPr>
          <w:rFonts w:ascii="仿宋" w:eastAsia="仿宋" w:hAnsi="仿宋" w:hint="eastAsia"/>
          <w:color w:val="000000" w:themeColor="text1"/>
          <w:sz w:val="32"/>
          <w:szCs w:val="32"/>
        </w:rPr>
        <w:t>，服装、鞋帽、针纺织品类增长</w:t>
      </w:r>
      <w:r w:rsidRPr="00355AE3">
        <w:rPr>
          <w:rFonts w:ascii="仿宋" w:eastAsia="仿宋" w:hAnsi="仿宋"/>
          <w:color w:val="000000" w:themeColor="text1"/>
          <w:sz w:val="32"/>
          <w:szCs w:val="32"/>
        </w:rPr>
        <w:t>22.4%</w:t>
      </w:r>
      <w:r w:rsidRPr="00355AE3">
        <w:rPr>
          <w:rFonts w:ascii="仿宋" w:eastAsia="仿宋" w:hAnsi="仿宋" w:hint="eastAsia"/>
          <w:color w:val="000000" w:themeColor="text1"/>
          <w:sz w:val="32"/>
          <w:szCs w:val="32"/>
        </w:rPr>
        <w:t>，化妆品类增长</w:t>
      </w:r>
      <w:r w:rsidRPr="00355AE3">
        <w:rPr>
          <w:rFonts w:ascii="仿宋" w:eastAsia="仿宋" w:hAnsi="仿宋"/>
          <w:color w:val="000000" w:themeColor="text1"/>
          <w:sz w:val="32"/>
          <w:szCs w:val="32"/>
        </w:rPr>
        <w:t>25.6%</w:t>
      </w:r>
      <w:r w:rsidRPr="00355AE3">
        <w:rPr>
          <w:rFonts w:ascii="仿宋" w:eastAsia="仿宋" w:hAnsi="仿宋" w:hint="eastAsia"/>
          <w:color w:val="000000" w:themeColor="text1"/>
          <w:sz w:val="32"/>
          <w:szCs w:val="32"/>
        </w:rPr>
        <w:t>，金银珠宝类增长</w:t>
      </w:r>
      <w:r w:rsidRPr="00355AE3">
        <w:rPr>
          <w:rFonts w:ascii="仿宋" w:eastAsia="仿宋" w:hAnsi="仿宋"/>
          <w:color w:val="000000" w:themeColor="text1"/>
          <w:sz w:val="32"/>
          <w:szCs w:val="32"/>
        </w:rPr>
        <w:t>16.1%</w:t>
      </w:r>
      <w:r w:rsidRPr="00355AE3">
        <w:rPr>
          <w:rFonts w:ascii="仿宋" w:eastAsia="仿宋" w:hAnsi="仿宋" w:hint="eastAsia"/>
          <w:color w:val="000000" w:themeColor="text1"/>
          <w:sz w:val="32"/>
          <w:szCs w:val="32"/>
        </w:rPr>
        <w:t>，日用品类增长</w:t>
      </w:r>
      <w:r w:rsidRPr="00355AE3">
        <w:rPr>
          <w:rFonts w:ascii="仿宋" w:eastAsia="仿宋" w:hAnsi="仿宋"/>
          <w:color w:val="000000" w:themeColor="text1"/>
          <w:sz w:val="32"/>
          <w:szCs w:val="32"/>
        </w:rPr>
        <w:t>37.9%</w:t>
      </w:r>
      <w:r w:rsidRPr="00355AE3">
        <w:rPr>
          <w:rFonts w:ascii="仿宋" w:eastAsia="仿宋" w:hAnsi="仿宋" w:hint="eastAsia"/>
          <w:color w:val="000000" w:themeColor="text1"/>
          <w:sz w:val="32"/>
          <w:szCs w:val="32"/>
        </w:rPr>
        <w:t>，家用电器和</w:t>
      </w:r>
      <w:r w:rsidRPr="00355AE3">
        <w:rPr>
          <w:rFonts w:ascii="仿宋" w:eastAsia="仿宋" w:hAnsi="仿宋" w:hint="eastAsia"/>
          <w:color w:val="000000" w:themeColor="text1"/>
          <w:sz w:val="32"/>
          <w:szCs w:val="32"/>
        </w:rPr>
        <w:lastRenderedPageBreak/>
        <w:t>音像器材类增长</w:t>
      </w:r>
      <w:r w:rsidRPr="00355AE3">
        <w:rPr>
          <w:rFonts w:ascii="仿宋" w:eastAsia="仿宋" w:hAnsi="仿宋"/>
          <w:color w:val="000000" w:themeColor="text1"/>
          <w:sz w:val="32"/>
          <w:szCs w:val="32"/>
        </w:rPr>
        <w:t>8.7%</w:t>
      </w:r>
      <w:r w:rsidRPr="00355AE3">
        <w:rPr>
          <w:rFonts w:ascii="仿宋" w:eastAsia="仿宋" w:hAnsi="仿宋" w:hint="eastAsia"/>
          <w:color w:val="000000" w:themeColor="text1"/>
          <w:sz w:val="32"/>
          <w:szCs w:val="32"/>
        </w:rPr>
        <w:t>，中西药品类增长</w:t>
      </w:r>
      <w:r w:rsidRPr="00355AE3">
        <w:rPr>
          <w:rFonts w:ascii="仿宋" w:eastAsia="仿宋" w:hAnsi="仿宋"/>
          <w:color w:val="000000" w:themeColor="text1"/>
          <w:sz w:val="32"/>
          <w:szCs w:val="32"/>
        </w:rPr>
        <w:t>53.5%</w:t>
      </w:r>
      <w:r w:rsidRPr="00355AE3">
        <w:rPr>
          <w:rFonts w:ascii="仿宋" w:eastAsia="仿宋" w:hAnsi="仿宋" w:hint="eastAsia"/>
          <w:color w:val="000000" w:themeColor="text1"/>
          <w:sz w:val="32"/>
          <w:szCs w:val="32"/>
        </w:rPr>
        <w:t>，文化办公用品类增长</w:t>
      </w:r>
      <w:r w:rsidRPr="00355AE3">
        <w:rPr>
          <w:rFonts w:ascii="仿宋" w:eastAsia="仿宋" w:hAnsi="仿宋"/>
          <w:color w:val="000000" w:themeColor="text1"/>
          <w:sz w:val="32"/>
          <w:szCs w:val="32"/>
        </w:rPr>
        <w:t>30.7%</w:t>
      </w:r>
      <w:r w:rsidRPr="00355AE3">
        <w:rPr>
          <w:rFonts w:ascii="仿宋" w:eastAsia="仿宋" w:hAnsi="仿宋" w:hint="eastAsia"/>
          <w:color w:val="000000" w:themeColor="text1"/>
          <w:sz w:val="32"/>
          <w:szCs w:val="32"/>
        </w:rPr>
        <w:t>，家具类增长</w:t>
      </w:r>
      <w:r w:rsidRPr="00355AE3">
        <w:rPr>
          <w:rFonts w:ascii="仿宋" w:eastAsia="仿宋" w:hAnsi="仿宋"/>
          <w:color w:val="000000" w:themeColor="text1"/>
          <w:sz w:val="32"/>
          <w:szCs w:val="32"/>
        </w:rPr>
        <w:t>22.4%</w:t>
      </w:r>
      <w:r w:rsidRPr="00355AE3">
        <w:rPr>
          <w:rFonts w:ascii="仿宋" w:eastAsia="仿宋" w:hAnsi="仿宋" w:hint="eastAsia"/>
          <w:color w:val="000000" w:themeColor="text1"/>
          <w:sz w:val="32"/>
          <w:szCs w:val="32"/>
        </w:rPr>
        <w:t>，通讯器材类增长</w:t>
      </w:r>
      <w:r w:rsidRPr="00355AE3">
        <w:rPr>
          <w:rFonts w:ascii="仿宋" w:eastAsia="仿宋" w:hAnsi="仿宋"/>
          <w:color w:val="000000" w:themeColor="text1"/>
          <w:sz w:val="32"/>
          <w:szCs w:val="32"/>
        </w:rPr>
        <w:t>31.1%</w:t>
      </w:r>
      <w:r w:rsidRPr="00355AE3">
        <w:rPr>
          <w:rFonts w:ascii="仿宋" w:eastAsia="仿宋" w:hAnsi="仿宋" w:hint="eastAsia"/>
          <w:color w:val="000000" w:themeColor="text1"/>
          <w:sz w:val="32"/>
          <w:szCs w:val="32"/>
        </w:rPr>
        <w:t>，建筑及装潢材料类增长</w:t>
      </w:r>
      <w:r w:rsidRPr="00355AE3">
        <w:rPr>
          <w:rFonts w:ascii="仿宋" w:eastAsia="仿宋" w:hAnsi="仿宋"/>
          <w:color w:val="000000" w:themeColor="text1"/>
          <w:sz w:val="32"/>
          <w:szCs w:val="32"/>
        </w:rPr>
        <w:t>35.4%</w:t>
      </w:r>
      <w:r w:rsidRPr="00355AE3">
        <w:rPr>
          <w:rFonts w:ascii="仿宋" w:eastAsia="仿宋" w:hAnsi="仿宋" w:hint="eastAsia"/>
          <w:color w:val="000000" w:themeColor="text1"/>
          <w:sz w:val="32"/>
          <w:szCs w:val="32"/>
        </w:rPr>
        <w:t>，石油及制品类增长</w:t>
      </w:r>
      <w:r w:rsidRPr="00355AE3">
        <w:rPr>
          <w:rFonts w:ascii="仿宋" w:eastAsia="仿宋" w:hAnsi="仿宋"/>
          <w:color w:val="000000" w:themeColor="text1"/>
          <w:sz w:val="32"/>
          <w:szCs w:val="32"/>
        </w:rPr>
        <w:t>35.8%</w:t>
      </w:r>
      <w:r w:rsidRPr="00355AE3">
        <w:rPr>
          <w:rFonts w:ascii="仿宋" w:eastAsia="仿宋" w:hAnsi="仿宋" w:hint="eastAsia"/>
          <w:color w:val="000000" w:themeColor="text1"/>
          <w:sz w:val="32"/>
          <w:szCs w:val="32"/>
        </w:rPr>
        <w:t>。</w:t>
      </w:r>
    </w:p>
    <w:p w:rsidR="00153465" w:rsidRPr="00266041" w:rsidRDefault="00153465" w:rsidP="00C1696B">
      <w:pPr>
        <w:widowControl/>
        <w:ind w:firstLineChars="250" w:firstLine="803"/>
        <w:rPr>
          <w:rFonts w:ascii="黑体" w:eastAsia="黑体" w:hAnsi="黑体" w:cs="宋体"/>
          <w:b/>
          <w:kern w:val="0"/>
          <w:sz w:val="32"/>
          <w:szCs w:val="32"/>
        </w:rPr>
      </w:pPr>
      <w:r w:rsidRPr="00266041">
        <w:rPr>
          <w:rFonts w:ascii="黑体" w:eastAsia="黑体" w:hAnsi="黑体" w:cs="宋体" w:hint="eastAsia"/>
          <w:b/>
          <w:kern w:val="0"/>
          <w:sz w:val="32"/>
          <w:szCs w:val="32"/>
        </w:rPr>
        <w:t>六、固定资产投资</w:t>
      </w:r>
    </w:p>
    <w:p w:rsidR="00E0497D" w:rsidRDefault="004138C5" w:rsidP="00DF1057">
      <w:pPr>
        <w:shd w:val="clear" w:color="auto" w:fill="FFFFFF"/>
        <w:ind w:firstLineChars="250" w:firstLine="800"/>
        <w:rPr>
          <w:rFonts w:ascii="仿宋" w:eastAsia="仿宋" w:hAnsi="仿宋"/>
          <w:sz w:val="32"/>
          <w:szCs w:val="32"/>
        </w:rPr>
      </w:pPr>
      <w:r>
        <w:rPr>
          <w:rFonts w:ascii="仿宋" w:eastAsia="仿宋" w:hAnsi="仿宋" w:hint="eastAsia"/>
          <w:sz w:val="32"/>
          <w:szCs w:val="32"/>
        </w:rPr>
        <w:t>全年</w:t>
      </w:r>
      <w:r w:rsidR="001954B4">
        <w:rPr>
          <w:rFonts w:ascii="仿宋" w:eastAsia="仿宋" w:hAnsi="仿宋" w:hint="eastAsia"/>
          <w:sz w:val="32"/>
          <w:szCs w:val="32"/>
        </w:rPr>
        <w:t>全市</w:t>
      </w:r>
      <w:r w:rsidR="00153465" w:rsidRPr="009D61DE">
        <w:rPr>
          <w:rFonts w:ascii="仿宋" w:eastAsia="仿宋" w:hAnsi="仿宋" w:hint="eastAsia"/>
          <w:sz w:val="32"/>
          <w:szCs w:val="32"/>
        </w:rPr>
        <w:t>固定资产投资比上年增长</w:t>
      </w:r>
      <w:r w:rsidR="00153465" w:rsidRPr="009D61DE">
        <w:rPr>
          <w:rFonts w:ascii="仿宋" w:eastAsia="仿宋" w:hAnsi="仿宋"/>
          <w:sz w:val="32"/>
          <w:szCs w:val="32"/>
        </w:rPr>
        <w:t>11.8%</w:t>
      </w:r>
      <w:r w:rsidR="00153465" w:rsidRPr="009D61DE">
        <w:rPr>
          <w:rFonts w:ascii="仿宋" w:eastAsia="仿宋" w:hAnsi="仿宋" w:hint="eastAsia"/>
          <w:sz w:val="32"/>
          <w:szCs w:val="32"/>
        </w:rPr>
        <w:t>，</w:t>
      </w:r>
      <w:r w:rsidR="00CB2484">
        <w:rPr>
          <w:rFonts w:ascii="仿宋" w:eastAsia="仿宋" w:hAnsi="仿宋" w:hint="eastAsia"/>
          <w:sz w:val="32"/>
          <w:szCs w:val="32"/>
        </w:rPr>
        <w:t>5000万</w:t>
      </w:r>
      <w:r w:rsidR="00CB2484">
        <w:rPr>
          <w:rFonts w:ascii="仿宋" w:eastAsia="仿宋" w:hAnsi="仿宋"/>
          <w:sz w:val="32"/>
          <w:szCs w:val="32"/>
        </w:rPr>
        <w:t>以上项目投资增长</w:t>
      </w:r>
      <w:r w:rsidR="00CB2484">
        <w:rPr>
          <w:rFonts w:ascii="仿宋" w:eastAsia="仿宋" w:hAnsi="仿宋" w:hint="eastAsia"/>
          <w:sz w:val="32"/>
          <w:szCs w:val="32"/>
        </w:rPr>
        <w:t>12.5%。</w:t>
      </w:r>
      <w:r w:rsidR="003723BE">
        <w:rPr>
          <w:rFonts w:ascii="仿宋" w:eastAsia="仿宋" w:hAnsi="仿宋" w:hint="eastAsia"/>
          <w:sz w:val="32"/>
          <w:szCs w:val="32"/>
        </w:rPr>
        <w:t>按产业</w:t>
      </w:r>
      <w:r w:rsidR="003723BE">
        <w:rPr>
          <w:rFonts w:ascii="仿宋" w:eastAsia="仿宋" w:hAnsi="仿宋"/>
          <w:sz w:val="32"/>
          <w:szCs w:val="32"/>
        </w:rPr>
        <w:t>分</w:t>
      </w:r>
      <w:r w:rsidR="00153465" w:rsidRPr="009D61DE">
        <w:rPr>
          <w:rFonts w:ascii="仿宋" w:eastAsia="仿宋" w:hAnsi="仿宋"/>
          <w:sz w:val="32"/>
          <w:szCs w:val="32"/>
        </w:rPr>
        <w:t>，</w:t>
      </w:r>
      <w:r w:rsidR="00153465" w:rsidRPr="009D61DE">
        <w:rPr>
          <w:rFonts w:ascii="仿宋" w:eastAsia="仿宋" w:hAnsi="仿宋" w:hint="eastAsia"/>
          <w:sz w:val="32"/>
          <w:szCs w:val="32"/>
        </w:rPr>
        <w:t>第一产业投资比上年增长</w:t>
      </w:r>
      <w:r w:rsidR="00153465" w:rsidRPr="009D61DE">
        <w:rPr>
          <w:rFonts w:ascii="仿宋" w:eastAsia="仿宋" w:hAnsi="仿宋"/>
          <w:sz w:val="32"/>
          <w:szCs w:val="32"/>
        </w:rPr>
        <w:t>31.3%</w:t>
      </w:r>
      <w:r w:rsidR="00153465" w:rsidRPr="009D61DE">
        <w:rPr>
          <w:rFonts w:ascii="仿宋" w:eastAsia="仿宋" w:hAnsi="仿宋" w:hint="eastAsia"/>
          <w:sz w:val="32"/>
          <w:szCs w:val="32"/>
        </w:rPr>
        <w:t>，第二产业投资增长</w:t>
      </w:r>
      <w:r w:rsidR="00153465" w:rsidRPr="009D61DE">
        <w:rPr>
          <w:rFonts w:ascii="仿宋" w:eastAsia="仿宋" w:hAnsi="仿宋"/>
          <w:sz w:val="32"/>
          <w:szCs w:val="32"/>
        </w:rPr>
        <w:t>5.8%</w:t>
      </w:r>
      <w:r w:rsidR="00153465" w:rsidRPr="009D61DE">
        <w:rPr>
          <w:rFonts w:ascii="仿宋" w:eastAsia="仿宋" w:hAnsi="仿宋" w:hint="eastAsia"/>
          <w:sz w:val="32"/>
          <w:szCs w:val="32"/>
        </w:rPr>
        <w:t>，第三产业投资增长</w:t>
      </w:r>
      <w:r w:rsidR="00153465" w:rsidRPr="009D61DE">
        <w:rPr>
          <w:rFonts w:ascii="仿宋" w:eastAsia="仿宋" w:hAnsi="仿宋"/>
          <w:sz w:val="32"/>
          <w:szCs w:val="32"/>
        </w:rPr>
        <w:t>13.5%</w:t>
      </w:r>
      <w:r w:rsidR="003723BE">
        <w:rPr>
          <w:rFonts w:ascii="仿宋" w:eastAsia="仿宋" w:hAnsi="仿宋" w:hint="eastAsia"/>
          <w:sz w:val="32"/>
          <w:szCs w:val="32"/>
        </w:rPr>
        <w:t>。按建设</w:t>
      </w:r>
      <w:r w:rsidR="003723BE">
        <w:rPr>
          <w:rFonts w:ascii="仿宋" w:eastAsia="仿宋" w:hAnsi="仿宋"/>
          <w:sz w:val="32"/>
          <w:szCs w:val="32"/>
        </w:rPr>
        <w:t>性质分，</w:t>
      </w:r>
      <w:r w:rsidR="00DF1057" w:rsidRPr="00DF1057">
        <w:rPr>
          <w:rFonts w:ascii="仿宋" w:eastAsia="仿宋" w:hAnsi="仿宋" w:cs="宋体" w:hint="eastAsia"/>
          <w:kern w:val="0"/>
          <w:sz w:val="32"/>
          <w:szCs w:val="32"/>
          <w:shd w:val="clear" w:color="auto" w:fill="FFFFFF"/>
        </w:rPr>
        <w:t>新建投资同比增长</w:t>
      </w:r>
      <w:r w:rsidR="00DF1057">
        <w:rPr>
          <w:rFonts w:ascii="仿宋" w:eastAsia="仿宋" w:hAnsi="仿宋" w:cs="宋体"/>
          <w:kern w:val="0"/>
          <w:sz w:val="32"/>
          <w:szCs w:val="32"/>
          <w:shd w:val="clear" w:color="auto" w:fill="FFFFFF"/>
        </w:rPr>
        <w:t>13.9</w:t>
      </w:r>
      <w:r w:rsidR="00DF1057" w:rsidRPr="00DF1057">
        <w:rPr>
          <w:rFonts w:ascii="仿宋" w:eastAsia="仿宋" w:hAnsi="仿宋" w:cs="宋体" w:hint="eastAsia"/>
          <w:kern w:val="0"/>
          <w:sz w:val="32"/>
          <w:szCs w:val="32"/>
          <w:shd w:val="clear" w:color="auto" w:fill="FFFFFF"/>
        </w:rPr>
        <w:t>%</w:t>
      </w:r>
      <w:r w:rsidR="00DF1057">
        <w:rPr>
          <w:rFonts w:ascii="仿宋" w:eastAsia="仿宋" w:hAnsi="仿宋" w:cs="宋体" w:hint="eastAsia"/>
          <w:kern w:val="0"/>
          <w:sz w:val="32"/>
          <w:szCs w:val="32"/>
          <w:shd w:val="clear" w:color="auto" w:fill="FFFFFF"/>
        </w:rPr>
        <w:t>，</w:t>
      </w:r>
      <w:r w:rsidR="00DF1057" w:rsidRPr="00DF1057">
        <w:rPr>
          <w:rFonts w:ascii="仿宋" w:eastAsia="仿宋" w:hAnsi="仿宋" w:cs="宋体" w:hint="eastAsia"/>
          <w:kern w:val="0"/>
          <w:sz w:val="32"/>
          <w:szCs w:val="32"/>
          <w:shd w:val="clear" w:color="auto" w:fill="FFFFFF"/>
        </w:rPr>
        <w:t>扩建投资</w:t>
      </w:r>
      <w:r w:rsidR="00DF1057">
        <w:rPr>
          <w:rFonts w:ascii="仿宋" w:eastAsia="仿宋" w:hAnsi="仿宋" w:cs="宋体" w:hint="eastAsia"/>
          <w:kern w:val="0"/>
          <w:sz w:val="32"/>
          <w:szCs w:val="32"/>
          <w:shd w:val="clear" w:color="auto" w:fill="FFFFFF"/>
        </w:rPr>
        <w:t>下降12.2</w:t>
      </w:r>
      <w:r w:rsidR="00DF1057" w:rsidRPr="00DF1057">
        <w:rPr>
          <w:rFonts w:ascii="仿宋" w:eastAsia="仿宋" w:hAnsi="仿宋" w:cs="宋体" w:hint="eastAsia"/>
          <w:kern w:val="0"/>
          <w:sz w:val="32"/>
          <w:szCs w:val="32"/>
          <w:shd w:val="clear" w:color="auto" w:fill="FFFFFF"/>
        </w:rPr>
        <w:t>%</w:t>
      </w:r>
      <w:r w:rsidR="00DF1057">
        <w:rPr>
          <w:rFonts w:ascii="仿宋" w:eastAsia="仿宋" w:hAnsi="仿宋" w:cs="宋体" w:hint="eastAsia"/>
          <w:kern w:val="0"/>
          <w:sz w:val="32"/>
          <w:szCs w:val="32"/>
          <w:shd w:val="clear" w:color="auto" w:fill="FFFFFF"/>
        </w:rPr>
        <w:t>，</w:t>
      </w:r>
      <w:r w:rsidR="00DF1057" w:rsidRPr="00DF1057">
        <w:rPr>
          <w:rFonts w:ascii="仿宋" w:eastAsia="仿宋" w:hAnsi="仿宋" w:cs="宋体" w:hint="eastAsia"/>
          <w:kern w:val="0"/>
          <w:sz w:val="32"/>
          <w:szCs w:val="32"/>
          <w:shd w:val="clear" w:color="auto" w:fill="FFFFFF"/>
        </w:rPr>
        <w:t>改建和技术改造投资增长</w:t>
      </w:r>
      <w:r w:rsidR="00DF1057">
        <w:rPr>
          <w:rFonts w:ascii="仿宋" w:eastAsia="仿宋" w:hAnsi="仿宋" w:cs="宋体"/>
          <w:kern w:val="0"/>
          <w:sz w:val="32"/>
          <w:szCs w:val="32"/>
          <w:shd w:val="clear" w:color="auto" w:fill="FFFFFF"/>
        </w:rPr>
        <w:t>7.4</w:t>
      </w:r>
      <w:r w:rsidR="00DF1057" w:rsidRPr="00DF1057">
        <w:rPr>
          <w:rFonts w:ascii="仿宋" w:eastAsia="仿宋" w:hAnsi="仿宋" w:cs="宋体" w:hint="eastAsia"/>
          <w:kern w:val="0"/>
          <w:sz w:val="32"/>
          <w:szCs w:val="32"/>
          <w:shd w:val="clear" w:color="auto" w:fill="FFFFFF"/>
        </w:rPr>
        <w:t>%</w:t>
      </w:r>
      <w:r w:rsidR="00DF1057">
        <w:rPr>
          <w:rFonts w:ascii="仿宋" w:eastAsia="仿宋" w:hAnsi="仿宋" w:cs="宋体" w:hint="eastAsia"/>
          <w:kern w:val="0"/>
          <w:sz w:val="32"/>
          <w:szCs w:val="32"/>
          <w:shd w:val="clear" w:color="auto" w:fill="FFFFFF"/>
        </w:rPr>
        <w:t>，</w:t>
      </w:r>
      <w:r w:rsidR="00DF1057">
        <w:rPr>
          <w:rFonts w:ascii="仿宋" w:eastAsia="仿宋" w:hAnsi="仿宋" w:cs="宋体"/>
          <w:kern w:val="0"/>
          <w:sz w:val="32"/>
          <w:szCs w:val="32"/>
          <w:shd w:val="clear" w:color="auto" w:fill="FFFFFF"/>
        </w:rPr>
        <w:t>工业技改投资下降</w:t>
      </w:r>
      <w:r w:rsidR="00DF1057">
        <w:rPr>
          <w:rFonts w:ascii="仿宋" w:eastAsia="仿宋" w:hAnsi="仿宋" w:cs="宋体" w:hint="eastAsia"/>
          <w:kern w:val="0"/>
          <w:sz w:val="32"/>
          <w:szCs w:val="32"/>
          <w:shd w:val="clear" w:color="auto" w:fill="FFFFFF"/>
        </w:rPr>
        <w:t>6.5%</w:t>
      </w:r>
      <w:r w:rsidR="00DF1057" w:rsidRPr="00DF1057">
        <w:rPr>
          <w:rFonts w:ascii="仿宋" w:eastAsia="仿宋" w:hAnsi="仿宋" w:cs="宋体" w:hint="eastAsia"/>
          <w:kern w:val="0"/>
          <w:sz w:val="32"/>
          <w:szCs w:val="32"/>
          <w:shd w:val="clear" w:color="auto" w:fill="FFFFFF"/>
        </w:rPr>
        <w:t>。</w:t>
      </w:r>
      <w:r w:rsidR="00DF1057">
        <w:rPr>
          <w:rFonts w:ascii="仿宋" w:eastAsia="仿宋" w:hAnsi="仿宋" w:cs="宋体" w:hint="eastAsia"/>
          <w:kern w:val="0"/>
          <w:sz w:val="32"/>
          <w:szCs w:val="32"/>
          <w:shd w:val="clear" w:color="auto" w:fill="FFFFFF"/>
        </w:rPr>
        <w:t>按重点</w:t>
      </w:r>
      <w:r w:rsidR="00DF1057">
        <w:rPr>
          <w:rFonts w:ascii="仿宋" w:eastAsia="仿宋" w:hAnsi="仿宋" w:cs="宋体"/>
          <w:kern w:val="0"/>
          <w:sz w:val="32"/>
          <w:szCs w:val="32"/>
          <w:shd w:val="clear" w:color="auto" w:fill="FFFFFF"/>
        </w:rPr>
        <w:t>领域分，</w:t>
      </w:r>
      <w:r w:rsidR="00153465" w:rsidRPr="009D61DE">
        <w:rPr>
          <w:rFonts w:ascii="仿宋" w:eastAsia="仿宋" w:hAnsi="仿宋" w:hint="eastAsia"/>
          <w:sz w:val="32"/>
          <w:szCs w:val="32"/>
        </w:rPr>
        <w:t>民间固定资产投资增长</w:t>
      </w:r>
      <w:r w:rsidR="00153465" w:rsidRPr="009D61DE">
        <w:rPr>
          <w:rFonts w:ascii="仿宋" w:eastAsia="仿宋" w:hAnsi="仿宋"/>
          <w:sz w:val="32"/>
          <w:szCs w:val="32"/>
        </w:rPr>
        <w:t>16.7%</w:t>
      </w:r>
      <w:r w:rsidR="00153465" w:rsidRPr="009D61DE">
        <w:rPr>
          <w:rFonts w:ascii="仿宋" w:eastAsia="仿宋" w:hAnsi="仿宋" w:hint="eastAsia"/>
          <w:sz w:val="32"/>
          <w:szCs w:val="32"/>
        </w:rPr>
        <w:t>，基础设施投资增长</w:t>
      </w:r>
      <w:r w:rsidR="00153465" w:rsidRPr="009D61DE">
        <w:rPr>
          <w:rFonts w:ascii="仿宋" w:eastAsia="仿宋" w:hAnsi="仿宋"/>
          <w:sz w:val="32"/>
          <w:szCs w:val="32"/>
        </w:rPr>
        <w:t>28.1%</w:t>
      </w:r>
      <w:r w:rsidR="00153465" w:rsidRPr="009D61DE">
        <w:rPr>
          <w:rFonts w:ascii="仿宋" w:eastAsia="仿宋" w:hAnsi="仿宋" w:hint="eastAsia"/>
          <w:sz w:val="32"/>
          <w:szCs w:val="32"/>
        </w:rPr>
        <w:t>，制造</w:t>
      </w:r>
      <w:r w:rsidR="00153465" w:rsidRPr="009D61DE">
        <w:rPr>
          <w:rFonts w:ascii="仿宋" w:eastAsia="仿宋" w:hAnsi="仿宋"/>
          <w:sz w:val="32"/>
          <w:szCs w:val="32"/>
        </w:rPr>
        <w:t>业投资</w:t>
      </w:r>
      <w:r w:rsidR="00153465" w:rsidRPr="009D61DE">
        <w:rPr>
          <w:rFonts w:ascii="仿宋" w:eastAsia="仿宋" w:hAnsi="仿宋" w:hint="eastAsia"/>
          <w:sz w:val="32"/>
          <w:szCs w:val="32"/>
        </w:rPr>
        <w:t>增长11.9%。</w:t>
      </w:r>
    </w:p>
    <w:p w:rsidR="004842AF" w:rsidRDefault="004842AF" w:rsidP="001954B4">
      <w:pPr>
        <w:shd w:val="clear" w:color="auto" w:fill="FFFFFF"/>
        <w:ind w:firstLineChars="250" w:firstLine="800"/>
        <w:rPr>
          <w:rFonts w:ascii="仿宋" w:eastAsia="仿宋" w:hAnsi="仿宋"/>
          <w:sz w:val="32"/>
          <w:szCs w:val="32"/>
        </w:rPr>
      </w:pPr>
      <w:r>
        <w:rPr>
          <w:rFonts w:ascii="仿宋" w:eastAsia="仿宋" w:hAnsi="仿宋" w:hint="eastAsia"/>
          <w:sz w:val="32"/>
          <w:szCs w:val="32"/>
        </w:rPr>
        <w:t>全年</w:t>
      </w:r>
      <w:r w:rsidR="001954B4">
        <w:rPr>
          <w:rFonts w:ascii="仿宋" w:eastAsia="仿宋" w:hAnsi="仿宋" w:hint="eastAsia"/>
          <w:sz w:val="32"/>
          <w:szCs w:val="32"/>
        </w:rPr>
        <w:t>全市</w:t>
      </w:r>
      <w:r>
        <w:rPr>
          <w:rFonts w:ascii="仿宋" w:eastAsia="仿宋" w:hAnsi="仿宋"/>
          <w:sz w:val="32"/>
          <w:szCs w:val="32"/>
        </w:rPr>
        <w:t>施工项目</w:t>
      </w:r>
      <w:r>
        <w:rPr>
          <w:rFonts w:ascii="仿宋" w:eastAsia="仿宋" w:hAnsi="仿宋" w:hint="eastAsia"/>
          <w:sz w:val="32"/>
          <w:szCs w:val="32"/>
        </w:rPr>
        <w:t>1572个</w:t>
      </w:r>
      <w:r>
        <w:rPr>
          <w:rFonts w:ascii="仿宋" w:eastAsia="仿宋" w:hAnsi="仿宋"/>
          <w:sz w:val="32"/>
          <w:szCs w:val="32"/>
        </w:rPr>
        <w:t>，比上年下降</w:t>
      </w:r>
      <w:r>
        <w:rPr>
          <w:rFonts w:ascii="仿宋" w:eastAsia="仿宋" w:hAnsi="仿宋" w:hint="eastAsia"/>
          <w:sz w:val="32"/>
          <w:szCs w:val="32"/>
        </w:rPr>
        <w:t>3.9%；</w:t>
      </w:r>
      <w:r>
        <w:rPr>
          <w:rFonts w:ascii="仿宋" w:eastAsia="仿宋" w:hAnsi="仿宋"/>
          <w:sz w:val="32"/>
          <w:szCs w:val="32"/>
        </w:rPr>
        <w:t>其中新开工项目</w:t>
      </w:r>
      <w:r>
        <w:rPr>
          <w:rFonts w:ascii="仿宋" w:eastAsia="仿宋" w:hAnsi="仿宋" w:hint="eastAsia"/>
          <w:sz w:val="32"/>
          <w:szCs w:val="32"/>
        </w:rPr>
        <w:t>799个</w:t>
      </w:r>
      <w:r>
        <w:rPr>
          <w:rFonts w:ascii="仿宋" w:eastAsia="仿宋" w:hAnsi="仿宋"/>
          <w:sz w:val="32"/>
          <w:szCs w:val="32"/>
        </w:rPr>
        <w:t>，比</w:t>
      </w:r>
      <w:r>
        <w:rPr>
          <w:rFonts w:ascii="仿宋" w:eastAsia="仿宋" w:hAnsi="仿宋" w:hint="eastAsia"/>
          <w:sz w:val="32"/>
          <w:szCs w:val="32"/>
        </w:rPr>
        <w:t>上年</w:t>
      </w:r>
      <w:r>
        <w:rPr>
          <w:rFonts w:ascii="仿宋" w:eastAsia="仿宋" w:hAnsi="仿宋"/>
          <w:sz w:val="32"/>
          <w:szCs w:val="32"/>
        </w:rPr>
        <w:t>下降</w:t>
      </w:r>
      <w:r>
        <w:rPr>
          <w:rFonts w:ascii="仿宋" w:eastAsia="仿宋" w:hAnsi="仿宋" w:hint="eastAsia"/>
          <w:sz w:val="32"/>
          <w:szCs w:val="32"/>
        </w:rPr>
        <w:t>10.5%。</w:t>
      </w:r>
    </w:p>
    <w:p w:rsidR="005B7998" w:rsidRPr="00DF1057" w:rsidRDefault="005B7998" w:rsidP="00DF1057">
      <w:pPr>
        <w:shd w:val="clear" w:color="auto" w:fill="FFFFFF"/>
        <w:ind w:firstLineChars="250" w:firstLine="525"/>
        <w:rPr>
          <w:rFonts w:ascii="仿宋" w:eastAsia="仿宋" w:hAnsi="仿宋" w:cs="宋体"/>
          <w:kern w:val="0"/>
          <w:sz w:val="32"/>
          <w:szCs w:val="32"/>
          <w:shd w:val="clear" w:color="auto" w:fill="FFFFFF"/>
        </w:rPr>
      </w:pPr>
      <w:r>
        <w:rPr>
          <w:noProof/>
        </w:rPr>
        <w:drawing>
          <wp:inline distT="0" distB="0" distL="0" distR="0">
            <wp:extent cx="4572000" cy="274320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7DB9" w:rsidRDefault="00153465" w:rsidP="007B7DB9">
      <w:pPr>
        <w:widowControl/>
        <w:shd w:val="clear" w:color="auto" w:fill="FFFFFF"/>
        <w:ind w:firstLineChars="200" w:firstLine="640"/>
        <w:rPr>
          <w:rFonts w:ascii="仿宋" w:eastAsia="仿宋" w:hAnsi="仿宋" w:cs="宋体"/>
          <w:kern w:val="0"/>
          <w:sz w:val="32"/>
          <w:szCs w:val="32"/>
          <w:shd w:val="clear" w:color="auto" w:fill="FFFFFF"/>
        </w:rPr>
      </w:pPr>
      <w:r w:rsidRPr="009D61DE">
        <w:rPr>
          <w:rFonts w:ascii="仿宋" w:eastAsia="仿宋" w:hAnsi="仿宋" w:hint="eastAsia"/>
          <w:color w:val="000000" w:themeColor="text1"/>
          <w:sz w:val="32"/>
          <w:szCs w:val="32"/>
        </w:rPr>
        <w:t>全年</w:t>
      </w:r>
      <w:r w:rsidR="00483AE3">
        <w:rPr>
          <w:rFonts w:ascii="仿宋" w:eastAsia="仿宋" w:hAnsi="仿宋" w:hint="eastAsia"/>
          <w:color w:val="000000" w:themeColor="text1"/>
          <w:sz w:val="32"/>
          <w:szCs w:val="32"/>
        </w:rPr>
        <w:t>全市</w:t>
      </w:r>
      <w:r w:rsidRPr="009D61DE">
        <w:rPr>
          <w:rFonts w:ascii="仿宋" w:eastAsia="仿宋" w:hAnsi="仿宋" w:hint="eastAsia"/>
          <w:color w:val="000000" w:themeColor="text1"/>
          <w:sz w:val="32"/>
          <w:szCs w:val="32"/>
        </w:rPr>
        <w:t>房地产开发投资比上年增长</w:t>
      </w:r>
      <w:r w:rsidRPr="009D61DE">
        <w:rPr>
          <w:rFonts w:ascii="仿宋" w:eastAsia="仿宋" w:hAnsi="仿宋"/>
          <w:color w:val="000000" w:themeColor="text1"/>
          <w:sz w:val="32"/>
          <w:szCs w:val="32"/>
        </w:rPr>
        <w:t>23.9%</w:t>
      </w:r>
      <w:r w:rsidRPr="009D61DE">
        <w:rPr>
          <w:rFonts w:ascii="仿宋" w:eastAsia="仿宋" w:hAnsi="仿宋" w:hint="eastAsia"/>
          <w:color w:val="000000" w:themeColor="text1"/>
          <w:sz w:val="32"/>
          <w:szCs w:val="32"/>
        </w:rPr>
        <w:t>。</w:t>
      </w:r>
      <w:r w:rsidR="007B7DB9" w:rsidRPr="004E016C">
        <w:rPr>
          <w:rFonts w:ascii="仿宋" w:eastAsia="仿宋" w:hAnsi="仿宋" w:cs="宋体" w:hint="eastAsia"/>
          <w:kern w:val="0"/>
          <w:sz w:val="32"/>
          <w:szCs w:val="32"/>
          <w:shd w:val="clear" w:color="auto" w:fill="FFFFFF"/>
        </w:rPr>
        <w:t>房屋施工面积</w:t>
      </w:r>
      <w:r w:rsidR="007B7DB9">
        <w:rPr>
          <w:rFonts w:ascii="仿宋" w:eastAsia="仿宋" w:hAnsi="仿宋" w:cs="宋体"/>
          <w:kern w:val="0"/>
          <w:sz w:val="32"/>
          <w:szCs w:val="32"/>
          <w:shd w:val="clear" w:color="auto" w:fill="FFFFFF"/>
        </w:rPr>
        <w:t>1596.8</w:t>
      </w:r>
      <w:r w:rsidR="007B7DB9" w:rsidRPr="004E016C">
        <w:rPr>
          <w:rFonts w:ascii="仿宋" w:eastAsia="仿宋" w:hAnsi="仿宋" w:cs="宋体" w:hint="eastAsia"/>
          <w:kern w:val="0"/>
          <w:sz w:val="32"/>
          <w:szCs w:val="32"/>
          <w:shd w:val="clear" w:color="auto" w:fill="FFFFFF"/>
        </w:rPr>
        <w:t>万平方米，</w:t>
      </w:r>
      <w:r w:rsidR="007B7DB9">
        <w:rPr>
          <w:rFonts w:ascii="仿宋" w:eastAsia="仿宋" w:hAnsi="仿宋" w:cs="宋体" w:hint="eastAsia"/>
          <w:kern w:val="0"/>
          <w:sz w:val="32"/>
          <w:szCs w:val="32"/>
          <w:shd w:val="clear" w:color="auto" w:fill="FFFFFF"/>
        </w:rPr>
        <w:t>增长</w:t>
      </w:r>
      <w:r w:rsidR="007B7DB9">
        <w:rPr>
          <w:rFonts w:ascii="仿宋" w:eastAsia="仿宋" w:hAnsi="仿宋" w:cs="宋体"/>
          <w:kern w:val="0"/>
          <w:sz w:val="32"/>
          <w:szCs w:val="32"/>
          <w:shd w:val="clear" w:color="auto" w:fill="FFFFFF"/>
        </w:rPr>
        <w:t>8.8</w:t>
      </w:r>
      <w:r w:rsidR="007B7DB9" w:rsidRPr="004E016C">
        <w:rPr>
          <w:rFonts w:ascii="仿宋" w:eastAsia="仿宋" w:hAnsi="仿宋" w:cs="宋体" w:hint="eastAsia"/>
          <w:kern w:val="0"/>
          <w:sz w:val="32"/>
          <w:szCs w:val="32"/>
          <w:shd w:val="clear" w:color="auto" w:fill="FFFFFF"/>
        </w:rPr>
        <w:t>%</w:t>
      </w:r>
      <w:r w:rsidR="007B7DB9">
        <w:rPr>
          <w:rFonts w:ascii="仿宋" w:eastAsia="仿宋" w:hAnsi="仿宋" w:cs="宋体" w:hint="eastAsia"/>
          <w:kern w:val="0"/>
          <w:sz w:val="32"/>
          <w:szCs w:val="32"/>
          <w:shd w:val="clear" w:color="auto" w:fill="FFFFFF"/>
        </w:rPr>
        <w:t>；</w:t>
      </w:r>
      <w:r w:rsidR="007B7DB9" w:rsidRPr="004E016C">
        <w:rPr>
          <w:rFonts w:ascii="仿宋" w:eastAsia="仿宋" w:hAnsi="仿宋" w:cs="宋体" w:hint="eastAsia"/>
          <w:kern w:val="0"/>
          <w:sz w:val="32"/>
          <w:szCs w:val="32"/>
          <w:shd w:val="clear" w:color="auto" w:fill="FFFFFF"/>
        </w:rPr>
        <w:t>房屋竣工面积</w:t>
      </w:r>
      <w:r w:rsidR="007B7DB9">
        <w:rPr>
          <w:rFonts w:ascii="仿宋" w:eastAsia="仿宋" w:hAnsi="仿宋" w:cs="宋体"/>
          <w:kern w:val="0"/>
          <w:sz w:val="32"/>
          <w:szCs w:val="32"/>
          <w:shd w:val="clear" w:color="auto" w:fill="FFFFFF"/>
        </w:rPr>
        <w:t>139.6</w:t>
      </w:r>
      <w:r w:rsidR="007B7DB9" w:rsidRPr="004E016C">
        <w:rPr>
          <w:rFonts w:ascii="仿宋" w:eastAsia="仿宋" w:hAnsi="仿宋" w:cs="宋体" w:hint="eastAsia"/>
          <w:kern w:val="0"/>
          <w:sz w:val="32"/>
          <w:szCs w:val="32"/>
          <w:shd w:val="clear" w:color="auto" w:fill="FFFFFF"/>
        </w:rPr>
        <w:t>万</w:t>
      </w:r>
      <w:r w:rsidR="007B7DB9" w:rsidRPr="004E016C">
        <w:rPr>
          <w:rFonts w:ascii="仿宋" w:eastAsia="仿宋" w:hAnsi="仿宋" w:cs="宋体" w:hint="eastAsia"/>
          <w:kern w:val="0"/>
          <w:sz w:val="32"/>
          <w:szCs w:val="32"/>
          <w:shd w:val="clear" w:color="auto" w:fill="FFFFFF"/>
        </w:rPr>
        <w:lastRenderedPageBreak/>
        <w:t>平方米，</w:t>
      </w:r>
      <w:r w:rsidR="007B7DB9">
        <w:rPr>
          <w:rFonts w:ascii="仿宋" w:eastAsia="仿宋" w:hAnsi="仿宋" w:cs="宋体" w:hint="eastAsia"/>
          <w:kern w:val="0"/>
          <w:sz w:val="32"/>
          <w:szCs w:val="32"/>
          <w:shd w:val="clear" w:color="auto" w:fill="FFFFFF"/>
        </w:rPr>
        <w:t>下降26.2</w:t>
      </w:r>
      <w:r w:rsidR="007B7DB9" w:rsidRPr="004E016C">
        <w:rPr>
          <w:rFonts w:ascii="仿宋" w:eastAsia="仿宋" w:hAnsi="仿宋" w:cs="宋体" w:hint="eastAsia"/>
          <w:kern w:val="0"/>
          <w:sz w:val="32"/>
          <w:szCs w:val="32"/>
          <w:shd w:val="clear" w:color="auto" w:fill="FFFFFF"/>
        </w:rPr>
        <w:t>%</w:t>
      </w:r>
      <w:r w:rsidR="007B7DB9">
        <w:rPr>
          <w:rFonts w:ascii="仿宋" w:eastAsia="仿宋" w:hAnsi="仿宋" w:cs="宋体" w:hint="eastAsia"/>
          <w:kern w:val="0"/>
          <w:sz w:val="32"/>
          <w:szCs w:val="32"/>
          <w:shd w:val="clear" w:color="auto" w:fill="FFFFFF"/>
        </w:rPr>
        <w:t>；</w:t>
      </w:r>
      <w:r w:rsidRPr="00007A62">
        <w:rPr>
          <w:rFonts w:ascii="仿宋" w:eastAsia="仿宋" w:hAnsi="仿宋" w:hint="eastAsia"/>
          <w:sz w:val="32"/>
          <w:szCs w:val="32"/>
        </w:rPr>
        <w:t>商品房销售面积</w:t>
      </w:r>
      <w:r w:rsidRPr="009618D2">
        <w:rPr>
          <w:rFonts w:ascii="仿宋" w:eastAsia="仿宋" w:hAnsi="仿宋"/>
          <w:sz w:val="32"/>
          <w:szCs w:val="32"/>
        </w:rPr>
        <w:t>279.6</w:t>
      </w:r>
      <w:r w:rsidRPr="00007A62">
        <w:rPr>
          <w:rFonts w:ascii="仿宋" w:eastAsia="仿宋" w:hAnsi="仿宋" w:hint="eastAsia"/>
          <w:sz w:val="32"/>
          <w:szCs w:val="32"/>
        </w:rPr>
        <w:t>万平方米，</w:t>
      </w:r>
      <w:r w:rsidRPr="009618D2">
        <w:rPr>
          <w:rFonts w:ascii="仿宋" w:eastAsia="仿宋" w:hAnsi="仿宋" w:hint="eastAsia"/>
          <w:sz w:val="32"/>
          <w:szCs w:val="32"/>
        </w:rPr>
        <w:t>增长12.0</w:t>
      </w:r>
      <w:r w:rsidRPr="00007A62">
        <w:rPr>
          <w:rFonts w:ascii="仿宋" w:eastAsia="仿宋" w:hAnsi="仿宋" w:hint="eastAsia"/>
          <w:sz w:val="32"/>
          <w:szCs w:val="32"/>
        </w:rPr>
        <w:t>%</w:t>
      </w:r>
      <w:r w:rsidR="007B7DB9">
        <w:rPr>
          <w:rFonts w:ascii="仿宋" w:eastAsia="仿宋" w:hAnsi="仿宋" w:hint="eastAsia"/>
          <w:sz w:val="32"/>
          <w:szCs w:val="32"/>
        </w:rPr>
        <w:t>；</w:t>
      </w:r>
      <w:r w:rsidR="007B7DB9" w:rsidRPr="004E016C">
        <w:rPr>
          <w:rFonts w:ascii="仿宋" w:eastAsia="仿宋" w:hAnsi="仿宋" w:cs="宋体" w:hint="eastAsia"/>
          <w:kern w:val="0"/>
          <w:sz w:val="32"/>
          <w:szCs w:val="32"/>
          <w:shd w:val="clear" w:color="auto" w:fill="FFFFFF"/>
        </w:rPr>
        <w:t>商品房待售面积</w:t>
      </w:r>
      <w:r w:rsidR="007B7DB9">
        <w:rPr>
          <w:rFonts w:ascii="仿宋" w:eastAsia="仿宋" w:hAnsi="仿宋" w:cs="宋体"/>
          <w:kern w:val="0"/>
          <w:sz w:val="32"/>
          <w:szCs w:val="32"/>
          <w:shd w:val="clear" w:color="auto" w:fill="FFFFFF"/>
        </w:rPr>
        <w:t>172.6</w:t>
      </w:r>
      <w:r w:rsidR="007B7DB9" w:rsidRPr="00F335F1">
        <w:rPr>
          <w:rFonts w:ascii="仿宋" w:eastAsia="仿宋" w:hAnsi="仿宋" w:cs="宋体" w:hint="eastAsia"/>
          <w:kern w:val="0"/>
          <w:sz w:val="32"/>
          <w:szCs w:val="32"/>
          <w:shd w:val="clear" w:color="auto" w:fill="FFFFFF"/>
        </w:rPr>
        <w:t>万平方米</w:t>
      </w:r>
      <w:r w:rsidR="007B7DB9" w:rsidRPr="004E016C">
        <w:rPr>
          <w:rFonts w:ascii="仿宋" w:eastAsia="仿宋" w:hAnsi="仿宋" w:cs="宋体" w:hint="eastAsia"/>
          <w:kern w:val="0"/>
          <w:sz w:val="32"/>
          <w:szCs w:val="32"/>
          <w:shd w:val="clear" w:color="auto" w:fill="FFFFFF"/>
        </w:rPr>
        <w:t>，</w:t>
      </w:r>
      <w:r w:rsidR="007B7DB9">
        <w:rPr>
          <w:rFonts w:ascii="仿宋" w:eastAsia="仿宋" w:hAnsi="仿宋" w:cs="宋体" w:hint="eastAsia"/>
          <w:kern w:val="0"/>
          <w:sz w:val="32"/>
          <w:szCs w:val="32"/>
          <w:shd w:val="clear" w:color="auto" w:fill="FFFFFF"/>
        </w:rPr>
        <w:t>下降11.8</w:t>
      </w:r>
      <w:r w:rsidR="007B7DB9" w:rsidRPr="004E016C">
        <w:rPr>
          <w:rFonts w:ascii="仿宋" w:eastAsia="仿宋" w:hAnsi="仿宋" w:cs="宋体" w:hint="eastAsia"/>
          <w:kern w:val="0"/>
          <w:sz w:val="32"/>
          <w:szCs w:val="32"/>
          <w:shd w:val="clear" w:color="auto" w:fill="FFFFFF"/>
        </w:rPr>
        <w:t>%。</w:t>
      </w: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1275"/>
        <w:gridCol w:w="2410"/>
        <w:gridCol w:w="1375"/>
      </w:tblGrid>
      <w:tr w:rsidR="00BF7C36" w:rsidRPr="000419BA" w:rsidTr="00BF7C36">
        <w:trPr>
          <w:cantSplit/>
          <w:trHeight w:hRule="exact" w:val="329"/>
          <w:jc w:val="center"/>
        </w:trPr>
        <w:tc>
          <w:tcPr>
            <w:tcW w:w="6379" w:type="dxa"/>
            <w:gridSpan w:val="3"/>
            <w:tcBorders>
              <w:top w:val="nil"/>
              <w:left w:val="nil"/>
              <w:bottom w:val="nil"/>
              <w:right w:val="nil"/>
            </w:tcBorders>
            <w:vAlign w:val="center"/>
          </w:tcPr>
          <w:p w:rsidR="00BF7C36" w:rsidRPr="000419BA" w:rsidRDefault="00BF7C36" w:rsidP="00BF7C36">
            <w:pPr>
              <w:spacing w:line="320" w:lineRule="exact"/>
              <w:rPr>
                <w:rFonts w:eastAsia="黑体"/>
                <w:bCs/>
                <w:kern w:val="0"/>
                <w:sz w:val="24"/>
              </w:rPr>
            </w:pPr>
          </w:p>
        </w:tc>
        <w:tc>
          <w:tcPr>
            <w:tcW w:w="1375" w:type="dxa"/>
            <w:tcBorders>
              <w:top w:val="nil"/>
              <w:left w:val="nil"/>
              <w:bottom w:val="nil"/>
              <w:right w:val="nil"/>
            </w:tcBorders>
          </w:tcPr>
          <w:p w:rsidR="00BF7C36" w:rsidRPr="000419BA" w:rsidRDefault="00BF7C36" w:rsidP="00BF7C36">
            <w:pPr>
              <w:spacing w:line="320" w:lineRule="exact"/>
              <w:rPr>
                <w:rFonts w:eastAsia="黑体"/>
                <w:bCs/>
                <w:kern w:val="0"/>
                <w:sz w:val="24"/>
              </w:rPr>
            </w:pPr>
          </w:p>
        </w:tc>
      </w:tr>
      <w:tr w:rsidR="00BF7C36" w:rsidRPr="000419BA" w:rsidTr="00BF7C36">
        <w:trPr>
          <w:cantSplit/>
          <w:trHeight w:hRule="exact" w:val="384"/>
          <w:jc w:val="center"/>
        </w:trPr>
        <w:tc>
          <w:tcPr>
            <w:tcW w:w="7754" w:type="dxa"/>
            <w:gridSpan w:val="4"/>
            <w:tcBorders>
              <w:top w:val="nil"/>
              <w:left w:val="nil"/>
              <w:bottom w:val="single" w:sz="12" w:space="0" w:color="auto"/>
              <w:right w:val="nil"/>
            </w:tcBorders>
            <w:vAlign w:val="center"/>
          </w:tcPr>
          <w:p w:rsidR="00BF7C36" w:rsidRPr="00BF7C36" w:rsidRDefault="00BF7C36" w:rsidP="00BF7C36">
            <w:pPr>
              <w:spacing w:line="240" w:lineRule="exact"/>
              <w:ind w:right="113"/>
              <w:jc w:val="center"/>
              <w:rPr>
                <w:b/>
                <w:color w:val="000000"/>
                <w:sz w:val="24"/>
                <w:szCs w:val="24"/>
              </w:rPr>
            </w:pPr>
            <w:r w:rsidRPr="00BF7C36">
              <w:rPr>
                <w:rFonts w:hint="eastAsia"/>
                <w:b/>
                <w:color w:val="000000"/>
                <w:sz w:val="24"/>
                <w:szCs w:val="24"/>
              </w:rPr>
              <w:t>表</w:t>
            </w:r>
            <w:r w:rsidRPr="00BF7C36">
              <w:rPr>
                <w:rFonts w:hint="eastAsia"/>
                <w:b/>
                <w:color w:val="000000"/>
                <w:sz w:val="24"/>
                <w:szCs w:val="24"/>
              </w:rPr>
              <w:t xml:space="preserve">3 </w:t>
            </w:r>
            <w:r w:rsidR="002C34E7">
              <w:rPr>
                <w:rFonts w:hint="eastAsia"/>
                <w:b/>
                <w:color w:val="000000"/>
                <w:sz w:val="24"/>
                <w:szCs w:val="24"/>
              </w:rPr>
              <w:t xml:space="preserve"> </w:t>
            </w:r>
            <w:r w:rsidRPr="00BF7C36">
              <w:rPr>
                <w:rFonts w:hint="eastAsia"/>
                <w:b/>
                <w:color w:val="000000"/>
                <w:sz w:val="24"/>
                <w:szCs w:val="24"/>
              </w:rPr>
              <w:t>2019</w:t>
            </w:r>
            <w:r w:rsidRPr="00BF7C36">
              <w:rPr>
                <w:rFonts w:hint="eastAsia"/>
                <w:b/>
                <w:color w:val="000000"/>
                <w:sz w:val="24"/>
                <w:szCs w:val="24"/>
              </w:rPr>
              <w:t>年</w:t>
            </w:r>
            <w:r w:rsidRPr="00BF7C36">
              <w:rPr>
                <w:b/>
                <w:color w:val="000000"/>
                <w:sz w:val="24"/>
                <w:szCs w:val="24"/>
              </w:rPr>
              <w:t>分行业固定资产投资增长速度</w:t>
            </w:r>
          </w:p>
        </w:tc>
      </w:tr>
      <w:tr w:rsidR="00BF7C36" w:rsidRPr="000419BA" w:rsidTr="00BF7C36">
        <w:trPr>
          <w:cantSplit/>
          <w:trHeight w:hRule="exact" w:val="384"/>
          <w:jc w:val="center"/>
        </w:trPr>
        <w:tc>
          <w:tcPr>
            <w:tcW w:w="2694" w:type="dxa"/>
            <w:tcBorders>
              <w:top w:val="single" w:sz="12" w:space="0" w:color="auto"/>
              <w:left w:val="nil"/>
              <w:bottom w:val="single" w:sz="12" w:space="0" w:color="auto"/>
              <w:right w:val="single" w:sz="4" w:space="0" w:color="auto"/>
            </w:tcBorders>
            <w:vAlign w:val="center"/>
          </w:tcPr>
          <w:p w:rsidR="00BF7C36" w:rsidRPr="000419BA" w:rsidRDefault="00BF7C36" w:rsidP="00BF7C36">
            <w:pPr>
              <w:widowControl/>
              <w:spacing w:line="240" w:lineRule="exact"/>
              <w:jc w:val="center"/>
              <w:rPr>
                <w:kern w:val="0"/>
                <w:sz w:val="18"/>
                <w:szCs w:val="18"/>
              </w:rPr>
            </w:pPr>
            <w:r>
              <w:rPr>
                <w:rFonts w:hint="eastAsia"/>
                <w:kern w:val="0"/>
                <w:sz w:val="18"/>
                <w:szCs w:val="18"/>
              </w:rPr>
              <w:t>行</w:t>
            </w:r>
            <w:r>
              <w:rPr>
                <w:kern w:val="0"/>
                <w:sz w:val="18"/>
                <w:szCs w:val="18"/>
              </w:rPr>
              <w:t>业</w:t>
            </w:r>
          </w:p>
        </w:tc>
        <w:tc>
          <w:tcPr>
            <w:tcW w:w="1275" w:type="dxa"/>
            <w:tcBorders>
              <w:top w:val="single" w:sz="12" w:space="0" w:color="auto"/>
              <w:left w:val="single" w:sz="4" w:space="0" w:color="auto"/>
              <w:bottom w:val="single" w:sz="12" w:space="0" w:color="auto"/>
              <w:right w:val="single" w:sz="4" w:space="0" w:color="auto"/>
            </w:tcBorders>
            <w:vAlign w:val="center"/>
          </w:tcPr>
          <w:p w:rsidR="00BF7C36" w:rsidRPr="00E065AD" w:rsidRDefault="00BF7C36" w:rsidP="00BF7C36">
            <w:pPr>
              <w:widowControl/>
              <w:spacing w:line="240" w:lineRule="exact"/>
              <w:ind w:right="113"/>
              <w:jc w:val="center"/>
              <w:rPr>
                <w:color w:val="000000"/>
                <w:sz w:val="18"/>
                <w:szCs w:val="18"/>
              </w:rPr>
            </w:pPr>
            <w:r>
              <w:rPr>
                <w:rFonts w:hint="eastAsia"/>
                <w:color w:val="000000"/>
                <w:sz w:val="18"/>
                <w:szCs w:val="18"/>
              </w:rPr>
              <w:t>比</w:t>
            </w:r>
            <w:r>
              <w:rPr>
                <w:color w:val="000000"/>
                <w:sz w:val="18"/>
                <w:szCs w:val="18"/>
              </w:rPr>
              <w:t>上年增长</w:t>
            </w:r>
          </w:p>
        </w:tc>
        <w:tc>
          <w:tcPr>
            <w:tcW w:w="2410" w:type="dxa"/>
            <w:tcBorders>
              <w:top w:val="single" w:sz="12" w:space="0" w:color="auto"/>
              <w:left w:val="single" w:sz="4" w:space="0" w:color="auto"/>
              <w:bottom w:val="single" w:sz="12" w:space="0" w:color="auto"/>
              <w:right w:val="single" w:sz="4" w:space="0" w:color="auto"/>
            </w:tcBorders>
            <w:vAlign w:val="center"/>
          </w:tcPr>
          <w:p w:rsidR="00BF7C36" w:rsidRPr="000419BA" w:rsidRDefault="00BF7C36" w:rsidP="00BF7C36">
            <w:pPr>
              <w:widowControl/>
              <w:spacing w:line="240" w:lineRule="exact"/>
              <w:jc w:val="center"/>
              <w:rPr>
                <w:kern w:val="0"/>
                <w:sz w:val="18"/>
                <w:szCs w:val="18"/>
              </w:rPr>
            </w:pPr>
            <w:r>
              <w:rPr>
                <w:rFonts w:hint="eastAsia"/>
                <w:kern w:val="0"/>
                <w:sz w:val="18"/>
                <w:szCs w:val="18"/>
              </w:rPr>
              <w:t>行</w:t>
            </w:r>
            <w:r>
              <w:rPr>
                <w:kern w:val="0"/>
                <w:sz w:val="18"/>
                <w:szCs w:val="18"/>
              </w:rPr>
              <w:t>业</w:t>
            </w:r>
          </w:p>
        </w:tc>
        <w:tc>
          <w:tcPr>
            <w:tcW w:w="1375" w:type="dxa"/>
            <w:tcBorders>
              <w:top w:val="single" w:sz="12" w:space="0" w:color="auto"/>
              <w:left w:val="single" w:sz="4" w:space="0" w:color="auto"/>
              <w:bottom w:val="single" w:sz="12" w:space="0" w:color="auto"/>
              <w:right w:val="nil"/>
            </w:tcBorders>
            <w:vAlign w:val="center"/>
          </w:tcPr>
          <w:p w:rsidR="00BF7C36" w:rsidRPr="00E065AD" w:rsidRDefault="00BF7C36" w:rsidP="00BF7C36">
            <w:pPr>
              <w:spacing w:line="240" w:lineRule="exact"/>
              <w:ind w:right="113"/>
              <w:jc w:val="center"/>
              <w:rPr>
                <w:color w:val="000000"/>
                <w:sz w:val="18"/>
                <w:szCs w:val="18"/>
              </w:rPr>
            </w:pPr>
            <w:r>
              <w:rPr>
                <w:rFonts w:hint="eastAsia"/>
                <w:color w:val="000000"/>
                <w:sz w:val="18"/>
                <w:szCs w:val="18"/>
              </w:rPr>
              <w:t>比</w:t>
            </w:r>
            <w:r>
              <w:rPr>
                <w:color w:val="000000"/>
                <w:sz w:val="18"/>
                <w:szCs w:val="18"/>
              </w:rPr>
              <w:t>上年增长</w:t>
            </w:r>
          </w:p>
        </w:tc>
      </w:tr>
      <w:tr w:rsidR="00BF7C36" w:rsidRPr="000419BA" w:rsidTr="00BF7C36">
        <w:trPr>
          <w:cantSplit/>
          <w:trHeight w:hRule="exact" w:val="384"/>
          <w:jc w:val="center"/>
        </w:trPr>
        <w:tc>
          <w:tcPr>
            <w:tcW w:w="2694" w:type="dxa"/>
            <w:tcBorders>
              <w:top w:val="single" w:sz="12" w:space="0" w:color="auto"/>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农、林、牧、渔业</w:t>
            </w:r>
          </w:p>
        </w:tc>
        <w:tc>
          <w:tcPr>
            <w:tcW w:w="1275" w:type="dxa"/>
            <w:tcBorders>
              <w:top w:val="single" w:sz="12" w:space="0" w:color="auto"/>
              <w:left w:val="single" w:sz="4" w:space="0" w:color="auto"/>
              <w:bottom w:val="nil"/>
              <w:right w:val="single" w:sz="4" w:space="0" w:color="auto"/>
            </w:tcBorders>
            <w:vAlign w:val="center"/>
          </w:tcPr>
          <w:p w:rsidR="00BF7C36" w:rsidRPr="00E065AD" w:rsidRDefault="00BF7C36" w:rsidP="00BF7C36">
            <w:pPr>
              <w:widowControl/>
              <w:spacing w:line="240" w:lineRule="exact"/>
              <w:ind w:right="113"/>
              <w:jc w:val="center"/>
              <w:rPr>
                <w:color w:val="000000"/>
                <w:kern w:val="0"/>
                <w:sz w:val="18"/>
                <w:szCs w:val="18"/>
              </w:rPr>
            </w:pPr>
            <w:r w:rsidRPr="00E065AD">
              <w:rPr>
                <w:rFonts w:hint="eastAsia"/>
                <w:color w:val="000000"/>
                <w:sz w:val="18"/>
                <w:szCs w:val="18"/>
              </w:rPr>
              <w:t>31.3</w:t>
            </w:r>
          </w:p>
        </w:tc>
        <w:tc>
          <w:tcPr>
            <w:tcW w:w="2410" w:type="dxa"/>
            <w:tcBorders>
              <w:top w:val="single" w:sz="12" w:space="0" w:color="auto"/>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房地产业</w:t>
            </w:r>
          </w:p>
        </w:tc>
        <w:tc>
          <w:tcPr>
            <w:tcW w:w="1375" w:type="dxa"/>
            <w:tcBorders>
              <w:top w:val="single" w:sz="12" w:space="0" w:color="auto"/>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-28.6</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采矿业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-80.0</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租赁和商务服务业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97.1</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制造业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11.9</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科学、技术服务和地质勘查业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45.1</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电力、燃气及水的生产和供应业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7.5</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水利、环境和公共设施管理业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42.4</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建筑业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0.0</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居民服务和其他服务业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16.4</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批发和零售业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2.9</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教育</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11.9</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交通运输、仓储和邮政业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18.0</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卫生、社会保障和社会福利业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-6.8</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住宿和餐饮业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-8.6</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文化、体育和娱乐业</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67.9</w:t>
            </w:r>
          </w:p>
        </w:tc>
      </w:tr>
      <w:tr w:rsidR="00BF7C36" w:rsidRPr="000419BA" w:rsidTr="00BF7C36">
        <w:trPr>
          <w:cantSplit/>
          <w:trHeight w:hRule="exact" w:val="384"/>
          <w:jc w:val="center"/>
        </w:trPr>
        <w:tc>
          <w:tcPr>
            <w:tcW w:w="2694" w:type="dxa"/>
            <w:tcBorders>
              <w:top w:val="nil"/>
              <w:left w:val="nil"/>
              <w:bottom w:val="nil"/>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信息传输、计算机服务和软件业</w:t>
            </w:r>
          </w:p>
        </w:tc>
        <w:tc>
          <w:tcPr>
            <w:tcW w:w="1275" w:type="dxa"/>
            <w:tcBorders>
              <w:top w:val="nil"/>
              <w:left w:val="single" w:sz="4" w:space="0" w:color="auto"/>
              <w:bottom w:val="nil"/>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102.1</w:t>
            </w:r>
          </w:p>
        </w:tc>
        <w:tc>
          <w:tcPr>
            <w:tcW w:w="2410" w:type="dxa"/>
            <w:tcBorders>
              <w:top w:val="nil"/>
              <w:left w:val="single" w:sz="4" w:space="0" w:color="auto"/>
              <w:bottom w:val="nil"/>
              <w:right w:val="single" w:sz="4" w:space="0" w:color="auto"/>
            </w:tcBorders>
            <w:vAlign w:val="center"/>
          </w:tcPr>
          <w:p w:rsidR="00BF7C36" w:rsidRPr="000419BA" w:rsidRDefault="00BF7C36" w:rsidP="00BF7C36">
            <w:pPr>
              <w:widowControl/>
              <w:spacing w:line="240" w:lineRule="exact"/>
              <w:rPr>
                <w:kern w:val="0"/>
                <w:sz w:val="18"/>
                <w:szCs w:val="18"/>
              </w:rPr>
            </w:pPr>
            <w:r w:rsidRPr="000419BA">
              <w:rPr>
                <w:kern w:val="0"/>
                <w:sz w:val="18"/>
                <w:szCs w:val="18"/>
              </w:rPr>
              <w:t>公共管理和社会组织</w:t>
            </w:r>
          </w:p>
        </w:tc>
        <w:tc>
          <w:tcPr>
            <w:tcW w:w="1375" w:type="dxa"/>
            <w:tcBorders>
              <w:top w:val="nil"/>
              <w:left w:val="single" w:sz="4" w:space="0" w:color="auto"/>
              <w:bottom w:val="nil"/>
              <w:right w:val="nil"/>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-73.1</w:t>
            </w:r>
          </w:p>
        </w:tc>
      </w:tr>
      <w:tr w:rsidR="00BF7C36" w:rsidRPr="000419BA" w:rsidTr="00BF7C36">
        <w:trPr>
          <w:cantSplit/>
          <w:trHeight w:hRule="exact" w:val="384"/>
          <w:jc w:val="center"/>
        </w:trPr>
        <w:tc>
          <w:tcPr>
            <w:tcW w:w="2694" w:type="dxa"/>
            <w:tcBorders>
              <w:top w:val="nil"/>
              <w:left w:val="nil"/>
              <w:bottom w:val="single" w:sz="4" w:space="0" w:color="auto"/>
              <w:right w:val="single" w:sz="4" w:space="0" w:color="auto"/>
            </w:tcBorders>
            <w:vAlign w:val="center"/>
          </w:tcPr>
          <w:p w:rsidR="00BF7C36" w:rsidRPr="000419BA" w:rsidRDefault="00BF7C36" w:rsidP="00BF7C36">
            <w:pPr>
              <w:widowControl/>
              <w:spacing w:line="240" w:lineRule="exact"/>
              <w:jc w:val="left"/>
              <w:rPr>
                <w:kern w:val="0"/>
                <w:sz w:val="18"/>
                <w:szCs w:val="18"/>
              </w:rPr>
            </w:pPr>
            <w:r w:rsidRPr="000419BA">
              <w:rPr>
                <w:kern w:val="0"/>
                <w:sz w:val="18"/>
                <w:szCs w:val="18"/>
              </w:rPr>
              <w:t>金融业</w:t>
            </w:r>
          </w:p>
        </w:tc>
        <w:tc>
          <w:tcPr>
            <w:tcW w:w="1275" w:type="dxa"/>
            <w:tcBorders>
              <w:top w:val="nil"/>
              <w:left w:val="single" w:sz="4" w:space="0" w:color="auto"/>
              <w:bottom w:val="single" w:sz="4" w:space="0" w:color="auto"/>
              <w:right w:val="single" w:sz="4" w:space="0" w:color="auto"/>
            </w:tcBorders>
            <w:vAlign w:val="center"/>
          </w:tcPr>
          <w:p w:rsidR="00BF7C36" w:rsidRPr="00E065AD" w:rsidRDefault="00BF7C36" w:rsidP="00BF7C36">
            <w:pPr>
              <w:spacing w:line="240" w:lineRule="exact"/>
              <w:ind w:right="113"/>
              <w:jc w:val="center"/>
              <w:rPr>
                <w:color w:val="000000"/>
                <w:sz w:val="18"/>
                <w:szCs w:val="18"/>
              </w:rPr>
            </w:pPr>
            <w:r w:rsidRPr="00E065AD">
              <w:rPr>
                <w:rFonts w:hint="eastAsia"/>
                <w:color w:val="000000"/>
                <w:sz w:val="18"/>
                <w:szCs w:val="18"/>
              </w:rPr>
              <w:t>-55.0</w:t>
            </w:r>
          </w:p>
        </w:tc>
        <w:tc>
          <w:tcPr>
            <w:tcW w:w="2410" w:type="dxa"/>
            <w:tcBorders>
              <w:top w:val="nil"/>
              <w:left w:val="single" w:sz="4" w:space="0" w:color="auto"/>
              <w:bottom w:val="single" w:sz="4" w:space="0" w:color="auto"/>
              <w:right w:val="single" w:sz="4" w:space="0" w:color="auto"/>
            </w:tcBorders>
            <w:vAlign w:val="center"/>
          </w:tcPr>
          <w:p w:rsidR="00BF7C36" w:rsidRPr="008F4D5A" w:rsidRDefault="00BF7C36" w:rsidP="00BF7C36">
            <w:pPr>
              <w:widowControl/>
              <w:spacing w:line="240" w:lineRule="exact"/>
              <w:ind w:right="113"/>
              <w:jc w:val="right"/>
              <w:rPr>
                <w:kern w:val="0"/>
                <w:sz w:val="18"/>
                <w:szCs w:val="18"/>
              </w:rPr>
            </w:pPr>
          </w:p>
        </w:tc>
        <w:tc>
          <w:tcPr>
            <w:tcW w:w="1375" w:type="dxa"/>
            <w:tcBorders>
              <w:top w:val="nil"/>
              <w:left w:val="single" w:sz="4" w:space="0" w:color="auto"/>
              <w:bottom w:val="single" w:sz="4" w:space="0" w:color="auto"/>
              <w:right w:val="nil"/>
            </w:tcBorders>
          </w:tcPr>
          <w:p w:rsidR="00BF7C36" w:rsidRPr="008F4D5A" w:rsidRDefault="00BF7C36" w:rsidP="00BF7C36">
            <w:pPr>
              <w:widowControl/>
              <w:spacing w:line="240" w:lineRule="exact"/>
              <w:ind w:right="113"/>
              <w:jc w:val="right"/>
              <w:rPr>
                <w:kern w:val="0"/>
                <w:sz w:val="18"/>
                <w:szCs w:val="18"/>
              </w:rPr>
            </w:pPr>
          </w:p>
        </w:tc>
      </w:tr>
    </w:tbl>
    <w:p w:rsidR="00153465" w:rsidRPr="00266041" w:rsidRDefault="00153465" w:rsidP="002D2C0F">
      <w:pPr>
        <w:widowControl/>
        <w:shd w:val="clear" w:color="auto" w:fill="FFFFFF"/>
        <w:spacing w:beforeLines="50" w:before="156"/>
        <w:ind w:firstLineChars="200" w:firstLine="643"/>
        <w:rPr>
          <w:rFonts w:ascii="黑体" w:eastAsia="黑体" w:hAnsi="黑体" w:cs="宋体"/>
          <w:b/>
          <w:kern w:val="0"/>
          <w:sz w:val="32"/>
          <w:szCs w:val="32"/>
        </w:rPr>
      </w:pPr>
      <w:r w:rsidRPr="00266041">
        <w:rPr>
          <w:rFonts w:ascii="黑体" w:eastAsia="黑体" w:hAnsi="黑体" w:cs="宋体" w:hint="eastAsia"/>
          <w:b/>
          <w:kern w:val="0"/>
          <w:sz w:val="32"/>
          <w:szCs w:val="32"/>
          <w:shd w:val="clear" w:color="auto" w:fill="FFFFFF"/>
        </w:rPr>
        <w:t>七、外贸经济</w:t>
      </w:r>
    </w:p>
    <w:p w:rsidR="00153465" w:rsidRDefault="00153465" w:rsidP="00153465">
      <w:pPr>
        <w:ind w:firstLineChars="200" w:firstLine="640"/>
        <w:rPr>
          <w:rFonts w:ascii="仿宋" w:eastAsia="仿宋" w:hAnsi="仿宋"/>
          <w:sz w:val="32"/>
          <w:szCs w:val="32"/>
        </w:rPr>
      </w:pPr>
      <w:r w:rsidRPr="009D61DE">
        <w:rPr>
          <w:rFonts w:ascii="仿宋" w:eastAsia="仿宋" w:hAnsi="仿宋" w:hint="eastAsia"/>
          <w:sz w:val="32"/>
          <w:szCs w:val="32"/>
        </w:rPr>
        <w:t>全年</w:t>
      </w:r>
      <w:r w:rsidR="00483AE3">
        <w:rPr>
          <w:rFonts w:ascii="仿宋" w:eastAsia="仿宋" w:hAnsi="仿宋" w:hint="eastAsia"/>
          <w:sz w:val="32"/>
          <w:szCs w:val="32"/>
        </w:rPr>
        <w:t>全市</w:t>
      </w:r>
      <w:r w:rsidRPr="009D61DE">
        <w:rPr>
          <w:rFonts w:ascii="仿宋" w:eastAsia="仿宋" w:hAnsi="仿宋" w:hint="eastAsia"/>
          <w:sz w:val="32"/>
          <w:szCs w:val="32"/>
        </w:rPr>
        <w:t>货物进出口总额</w:t>
      </w:r>
      <w:r w:rsidRPr="009D61DE">
        <w:rPr>
          <w:rFonts w:ascii="仿宋" w:eastAsia="仿宋" w:hAnsi="仿宋"/>
          <w:sz w:val="32"/>
          <w:szCs w:val="32"/>
        </w:rPr>
        <w:t>61.9</w:t>
      </w:r>
      <w:r w:rsidRPr="009D61DE">
        <w:rPr>
          <w:rFonts w:ascii="仿宋" w:eastAsia="仿宋" w:hAnsi="仿宋" w:hint="eastAsia"/>
          <w:sz w:val="32"/>
          <w:szCs w:val="32"/>
        </w:rPr>
        <w:t>亿元，比上年增长</w:t>
      </w:r>
      <w:r w:rsidRPr="009D61DE">
        <w:rPr>
          <w:rFonts w:ascii="仿宋" w:eastAsia="仿宋" w:hAnsi="仿宋"/>
          <w:sz w:val="32"/>
          <w:szCs w:val="32"/>
        </w:rPr>
        <w:t>34.8%</w:t>
      </w:r>
      <w:r w:rsidRPr="009D61DE">
        <w:rPr>
          <w:rFonts w:ascii="仿宋" w:eastAsia="仿宋" w:hAnsi="仿宋" w:hint="eastAsia"/>
          <w:sz w:val="32"/>
          <w:szCs w:val="32"/>
        </w:rPr>
        <w:t>。其中，出口</w:t>
      </w:r>
      <w:r w:rsidRPr="009D61DE">
        <w:rPr>
          <w:rFonts w:ascii="仿宋" w:eastAsia="仿宋" w:hAnsi="仿宋"/>
          <w:sz w:val="32"/>
          <w:szCs w:val="32"/>
        </w:rPr>
        <w:t>59</w:t>
      </w:r>
      <w:r w:rsidRPr="009D61DE">
        <w:rPr>
          <w:rFonts w:ascii="仿宋" w:eastAsia="仿宋" w:hAnsi="仿宋" w:hint="eastAsia"/>
          <w:sz w:val="32"/>
          <w:szCs w:val="32"/>
        </w:rPr>
        <w:t>亿元，增长</w:t>
      </w:r>
      <w:r w:rsidRPr="009D61DE">
        <w:rPr>
          <w:rFonts w:ascii="仿宋" w:eastAsia="仿宋" w:hAnsi="仿宋"/>
          <w:sz w:val="32"/>
          <w:szCs w:val="32"/>
        </w:rPr>
        <w:t>34.7%</w:t>
      </w:r>
      <w:r w:rsidRPr="009D61DE">
        <w:rPr>
          <w:rFonts w:ascii="仿宋" w:eastAsia="仿宋" w:hAnsi="仿宋" w:hint="eastAsia"/>
          <w:sz w:val="32"/>
          <w:szCs w:val="32"/>
        </w:rPr>
        <w:t>；进口</w:t>
      </w:r>
      <w:r w:rsidRPr="009D61DE">
        <w:rPr>
          <w:rFonts w:ascii="仿宋" w:eastAsia="仿宋" w:hAnsi="仿宋"/>
          <w:sz w:val="32"/>
          <w:szCs w:val="32"/>
        </w:rPr>
        <w:t>2.9</w:t>
      </w:r>
      <w:r w:rsidRPr="009D61DE">
        <w:rPr>
          <w:rFonts w:ascii="仿宋" w:eastAsia="仿宋" w:hAnsi="仿宋" w:hint="eastAsia"/>
          <w:sz w:val="32"/>
          <w:szCs w:val="32"/>
        </w:rPr>
        <w:t>亿元，增长</w:t>
      </w:r>
      <w:r w:rsidRPr="009D61DE">
        <w:rPr>
          <w:rFonts w:ascii="仿宋" w:eastAsia="仿宋" w:hAnsi="仿宋"/>
          <w:sz w:val="32"/>
          <w:szCs w:val="32"/>
        </w:rPr>
        <w:t>37.6%</w:t>
      </w:r>
      <w:r w:rsidRPr="009D61DE">
        <w:rPr>
          <w:rFonts w:ascii="仿宋" w:eastAsia="仿宋" w:hAnsi="仿宋" w:hint="eastAsia"/>
          <w:sz w:val="32"/>
          <w:szCs w:val="32"/>
        </w:rPr>
        <w:t>，货物进出口顺差</w:t>
      </w:r>
      <w:r w:rsidRPr="009D61DE">
        <w:rPr>
          <w:rFonts w:ascii="仿宋" w:eastAsia="仿宋" w:hAnsi="仿宋"/>
          <w:sz w:val="32"/>
          <w:szCs w:val="32"/>
        </w:rPr>
        <w:t>5.6</w:t>
      </w:r>
      <w:r w:rsidRPr="009D61DE">
        <w:rPr>
          <w:rFonts w:ascii="仿宋" w:eastAsia="仿宋" w:hAnsi="仿宋" w:hint="eastAsia"/>
          <w:sz w:val="32"/>
          <w:szCs w:val="32"/>
        </w:rPr>
        <w:t>亿元。</w:t>
      </w:r>
    </w:p>
    <w:p w:rsidR="005E52CF" w:rsidRDefault="005E52CF" w:rsidP="00E0497D">
      <w:pPr>
        <w:ind w:firstLineChars="200" w:firstLine="420"/>
        <w:jc w:val="center"/>
        <w:rPr>
          <w:rFonts w:ascii="仿宋" w:eastAsia="仿宋" w:hAnsi="仿宋"/>
          <w:sz w:val="32"/>
          <w:szCs w:val="32"/>
        </w:rPr>
      </w:pPr>
      <w:r>
        <w:rPr>
          <w:noProof/>
        </w:rPr>
        <w:drawing>
          <wp:inline distT="0" distB="0" distL="0" distR="0">
            <wp:extent cx="4572000" cy="2743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0BF0" w:rsidRDefault="001E669B" w:rsidP="006A0BF0">
      <w:pPr>
        <w:ind w:firstLineChars="200" w:firstLine="420"/>
        <w:jc w:val="center"/>
      </w:pPr>
      <w:r>
        <w:fldChar w:fldCharType="begin"/>
      </w:r>
      <w:r w:rsidR="001E105B">
        <w:rPr>
          <w:rFonts w:hint="eastAsia"/>
        </w:rPr>
        <w:instrText xml:space="preserve">LINK </w:instrText>
      </w:r>
      <w:r w:rsidR="00126B34">
        <w:instrText>Excel.Sheet.8</w:instrText>
      </w:r>
      <w:r w:rsidR="00126B34">
        <w:rPr>
          <w:rFonts w:hint="eastAsia"/>
        </w:rPr>
        <w:instrText xml:space="preserve"> F:\\1A2020</w:instrText>
      </w:r>
      <w:r w:rsidR="00126B34">
        <w:rPr>
          <w:rFonts w:hint="eastAsia"/>
        </w:rPr>
        <w:instrText>年度所有</w:instrText>
      </w:r>
      <w:r w:rsidR="00126B34">
        <w:rPr>
          <w:rFonts w:hint="eastAsia"/>
        </w:rPr>
        <w:instrText>\\2020</w:instrText>
      </w:r>
      <w:r w:rsidR="00126B34">
        <w:rPr>
          <w:rFonts w:hint="eastAsia"/>
        </w:rPr>
        <w:instrText>月度及重要数据</w:instrText>
      </w:r>
      <w:r w:rsidR="00126B34">
        <w:rPr>
          <w:rFonts w:hint="eastAsia"/>
        </w:rPr>
        <w:instrText>\\2</w:instrText>
      </w:r>
      <w:r w:rsidR="00126B34">
        <w:rPr>
          <w:rFonts w:hint="eastAsia"/>
        </w:rPr>
        <w:instrText>月数据</w:instrText>
      </w:r>
      <w:r w:rsidR="00126B34">
        <w:rPr>
          <w:rFonts w:hint="eastAsia"/>
        </w:rPr>
        <w:instrText>\\2019</w:instrText>
      </w:r>
      <w:r w:rsidR="00126B34">
        <w:rPr>
          <w:rFonts w:hint="eastAsia"/>
        </w:rPr>
        <w:instrText>年</w:instrText>
      </w:r>
      <w:r w:rsidR="00126B34">
        <w:rPr>
          <w:rFonts w:hint="eastAsia"/>
        </w:rPr>
        <w:instrText>1-12</w:instrText>
      </w:r>
      <w:r w:rsidR="00126B34">
        <w:rPr>
          <w:rFonts w:hint="eastAsia"/>
        </w:rPr>
        <w:instrText>月外贸出口海关数总值表</w:instrText>
      </w:r>
      <w:r w:rsidR="00126B34">
        <w:rPr>
          <w:rFonts w:hint="eastAsia"/>
        </w:rPr>
        <w:instrText xml:space="preserve">.xls </w:instrText>
      </w:r>
      <w:r w:rsidR="00126B34">
        <w:rPr>
          <w:rFonts w:hint="eastAsia"/>
        </w:rPr>
        <w:instrText>重点出口商品情况</w:instrText>
      </w:r>
      <w:r w:rsidR="00126B34">
        <w:rPr>
          <w:rFonts w:hint="eastAsia"/>
        </w:rPr>
        <w:instrText xml:space="preserve">!R3C1:R21C4 </w:instrText>
      </w:r>
      <w:r w:rsidR="001E105B">
        <w:rPr>
          <w:rFonts w:hint="eastAsia"/>
        </w:rPr>
        <w:instrText>\a \f 4 \h</w:instrText>
      </w:r>
      <w:r w:rsidR="001E105B">
        <w:instrText xml:space="preserve">  \* MERGEFORMAT </w:instrText>
      </w:r>
      <w:r>
        <w:fldChar w:fldCharType="separate"/>
      </w:r>
    </w:p>
    <w:p w:rsidR="00153465" w:rsidRPr="009D61DE" w:rsidRDefault="001E669B" w:rsidP="00C67D87">
      <w:pPr>
        <w:ind w:firstLineChars="200" w:firstLine="640"/>
        <w:jc w:val="left"/>
        <w:rPr>
          <w:rFonts w:ascii="仿宋" w:eastAsia="仿宋" w:hAnsi="仿宋"/>
          <w:sz w:val="32"/>
          <w:szCs w:val="32"/>
        </w:rPr>
      </w:pPr>
      <w:r>
        <w:rPr>
          <w:rFonts w:ascii="仿宋" w:eastAsia="仿宋" w:hAnsi="仿宋"/>
          <w:sz w:val="32"/>
          <w:szCs w:val="32"/>
        </w:rPr>
        <w:lastRenderedPageBreak/>
        <w:fldChar w:fldCharType="end"/>
      </w:r>
      <w:r w:rsidR="00153465" w:rsidRPr="009D61DE">
        <w:rPr>
          <w:rFonts w:ascii="仿宋" w:eastAsia="仿宋" w:hAnsi="仿宋" w:hint="eastAsia"/>
          <w:sz w:val="32"/>
          <w:szCs w:val="32"/>
        </w:rPr>
        <w:t>全年</w:t>
      </w:r>
      <w:r w:rsidR="00483AE3">
        <w:rPr>
          <w:rFonts w:ascii="仿宋" w:eastAsia="仿宋" w:hAnsi="仿宋" w:hint="eastAsia"/>
          <w:sz w:val="32"/>
          <w:szCs w:val="32"/>
        </w:rPr>
        <w:t>全市</w:t>
      </w:r>
      <w:r w:rsidR="00153465" w:rsidRPr="009D61DE">
        <w:rPr>
          <w:rFonts w:ascii="仿宋" w:eastAsia="仿宋" w:hAnsi="仿宋" w:hint="eastAsia"/>
          <w:sz w:val="32"/>
          <w:szCs w:val="32"/>
        </w:rPr>
        <w:t>新批外商投资企业11家，新增投资总额18543.6万美元，注册资本6758万美元，合同外资5857</w:t>
      </w:r>
      <w:r w:rsidR="00C67D87">
        <w:rPr>
          <w:rFonts w:ascii="仿宋" w:eastAsia="仿宋" w:hAnsi="仿宋" w:hint="eastAsia"/>
          <w:sz w:val="32"/>
          <w:szCs w:val="32"/>
        </w:rPr>
        <w:t>万美元，</w:t>
      </w:r>
      <w:r w:rsidR="00153465" w:rsidRPr="009D61DE">
        <w:rPr>
          <w:rFonts w:ascii="仿宋" w:eastAsia="仿宋" w:hAnsi="仿宋" w:hint="eastAsia"/>
          <w:sz w:val="32"/>
          <w:szCs w:val="32"/>
        </w:rPr>
        <w:t>利用外资为8694万美元。</w:t>
      </w:r>
    </w:p>
    <w:p w:rsidR="00153465" w:rsidRPr="00266041" w:rsidRDefault="00153465" w:rsidP="00153465">
      <w:pPr>
        <w:ind w:firstLineChars="200" w:firstLine="640"/>
        <w:rPr>
          <w:rFonts w:ascii="黑体" w:eastAsia="黑体" w:hAnsi="黑体" w:cs="宋体"/>
          <w:color w:val="333333"/>
          <w:kern w:val="0"/>
          <w:sz w:val="32"/>
          <w:szCs w:val="32"/>
        </w:rPr>
      </w:pPr>
      <w:r w:rsidRPr="00266041">
        <w:rPr>
          <w:rFonts w:ascii="黑体" w:eastAsia="黑体" w:hAnsi="黑体" w:cs="宋体" w:hint="eastAsia"/>
          <w:color w:val="000000"/>
          <w:kern w:val="0"/>
          <w:sz w:val="32"/>
          <w:szCs w:val="32"/>
          <w:shd w:val="clear" w:color="auto" w:fill="FFFFFF"/>
        </w:rPr>
        <w:t>八、财政、金融和保险</w:t>
      </w:r>
    </w:p>
    <w:p w:rsidR="00153465" w:rsidRPr="009D61DE" w:rsidRDefault="00DD7830" w:rsidP="00153465">
      <w:pPr>
        <w:ind w:firstLineChars="200" w:firstLine="640"/>
        <w:rPr>
          <w:rFonts w:ascii="仿宋" w:eastAsia="仿宋" w:hAnsi="仿宋"/>
          <w:sz w:val="32"/>
          <w:szCs w:val="32"/>
        </w:rPr>
      </w:pPr>
      <w:r>
        <w:rPr>
          <w:rFonts w:ascii="仿宋" w:eastAsia="仿宋" w:hAnsi="仿宋" w:hint="eastAsia"/>
          <w:sz w:val="32"/>
          <w:szCs w:val="32"/>
        </w:rPr>
        <w:t>全年</w:t>
      </w:r>
      <w:r w:rsidR="00483AE3">
        <w:rPr>
          <w:rFonts w:ascii="仿宋" w:eastAsia="仿宋" w:hAnsi="仿宋" w:hint="eastAsia"/>
          <w:sz w:val="32"/>
          <w:szCs w:val="32"/>
        </w:rPr>
        <w:t>全市</w:t>
      </w:r>
      <w:r>
        <w:rPr>
          <w:rFonts w:ascii="仿宋" w:eastAsia="仿宋" w:hAnsi="仿宋" w:hint="eastAsia"/>
          <w:sz w:val="32"/>
          <w:szCs w:val="32"/>
        </w:rPr>
        <w:t>实现</w:t>
      </w:r>
      <w:r w:rsidR="00153465" w:rsidRPr="00E262F6">
        <w:rPr>
          <w:rFonts w:ascii="仿宋" w:eastAsia="仿宋" w:hAnsi="仿宋" w:hint="eastAsia"/>
          <w:sz w:val="32"/>
          <w:szCs w:val="32"/>
        </w:rPr>
        <w:t>财政总收入</w:t>
      </w:r>
      <w:r w:rsidR="00153465">
        <w:rPr>
          <w:rFonts w:ascii="仿宋" w:eastAsia="仿宋" w:hAnsi="仿宋"/>
          <w:sz w:val="32"/>
          <w:szCs w:val="32"/>
        </w:rPr>
        <w:t>182.9</w:t>
      </w:r>
      <w:r w:rsidR="00153465" w:rsidRPr="00E262F6">
        <w:rPr>
          <w:rFonts w:ascii="仿宋" w:eastAsia="仿宋" w:hAnsi="仿宋" w:hint="eastAsia"/>
          <w:sz w:val="32"/>
          <w:szCs w:val="32"/>
        </w:rPr>
        <w:t>亿元，</w:t>
      </w:r>
      <w:r w:rsidR="00153465">
        <w:rPr>
          <w:rFonts w:ascii="仿宋" w:eastAsia="仿宋" w:hAnsi="仿宋" w:hint="eastAsia"/>
          <w:sz w:val="32"/>
          <w:szCs w:val="32"/>
        </w:rPr>
        <w:t>比</w:t>
      </w:r>
      <w:r w:rsidR="00153465">
        <w:rPr>
          <w:rFonts w:ascii="仿宋" w:eastAsia="仿宋" w:hAnsi="仿宋"/>
          <w:sz w:val="32"/>
          <w:szCs w:val="32"/>
        </w:rPr>
        <w:t>上年</w:t>
      </w:r>
      <w:r w:rsidR="00153465" w:rsidRPr="00E262F6">
        <w:rPr>
          <w:rFonts w:ascii="仿宋" w:eastAsia="仿宋" w:hAnsi="仿宋" w:hint="eastAsia"/>
          <w:sz w:val="32"/>
          <w:szCs w:val="32"/>
        </w:rPr>
        <w:t>增长1.</w:t>
      </w:r>
      <w:r w:rsidR="00153465">
        <w:rPr>
          <w:rFonts w:ascii="仿宋" w:eastAsia="仿宋" w:hAnsi="仿宋"/>
          <w:sz w:val="32"/>
          <w:szCs w:val="32"/>
        </w:rPr>
        <w:t>6</w:t>
      </w:r>
      <w:r w:rsidR="00153465" w:rsidRPr="00E262F6">
        <w:rPr>
          <w:rFonts w:ascii="仿宋" w:eastAsia="仿宋" w:hAnsi="仿宋" w:hint="eastAsia"/>
          <w:sz w:val="32"/>
          <w:szCs w:val="32"/>
        </w:rPr>
        <w:t>%。其中</w:t>
      </w:r>
      <w:r w:rsidR="00153465" w:rsidRPr="00E262F6">
        <w:rPr>
          <w:rFonts w:ascii="仿宋" w:eastAsia="仿宋" w:hAnsi="仿宋"/>
          <w:sz w:val="32"/>
          <w:szCs w:val="32"/>
        </w:rPr>
        <w:t>，</w:t>
      </w:r>
      <w:r w:rsidR="007A2FE0">
        <w:rPr>
          <w:rFonts w:ascii="仿宋" w:eastAsia="仿宋" w:hAnsi="仿宋" w:hint="eastAsia"/>
          <w:sz w:val="32"/>
          <w:szCs w:val="32"/>
        </w:rPr>
        <w:t>地</w:t>
      </w:r>
      <w:r w:rsidR="007A2FE0">
        <w:rPr>
          <w:rFonts w:ascii="仿宋" w:eastAsia="仿宋" w:hAnsi="仿宋"/>
          <w:sz w:val="32"/>
          <w:szCs w:val="32"/>
        </w:rPr>
        <w:t>方</w:t>
      </w:r>
      <w:r w:rsidR="00153465" w:rsidRPr="009D61DE">
        <w:rPr>
          <w:rFonts w:ascii="仿宋" w:eastAsia="仿宋" w:hAnsi="仿宋" w:hint="eastAsia"/>
          <w:sz w:val="32"/>
          <w:szCs w:val="32"/>
        </w:rPr>
        <w:t>一般公共预算收入</w:t>
      </w:r>
      <w:r w:rsidR="00153465" w:rsidRPr="009D61DE">
        <w:rPr>
          <w:rFonts w:ascii="仿宋" w:eastAsia="仿宋" w:hAnsi="仿宋"/>
          <w:sz w:val="32"/>
          <w:szCs w:val="32"/>
        </w:rPr>
        <w:t>120</w:t>
      </w:r>
      <w:r w:rsidR="00153465" w:rsidRPr="009D61DE">
        <w:rPr>
          <w:rFonts w:ascii="仿宋" w:eastAsia="仿宋" w:hAnsi="仿宋" w:hint="eastAsia"/>
          <w:sz w:val="32"/>
          <w:szCs w:val="32"/>
        </w:rPr>
        <w:t>亿元，比上年增长</w:t>
      </w:r>
      <w:r w:rsidR="00153465" w:rsidRPr="009D61DE">
        <w:rPr>
          <w:rFonts w:ascii="仿宋" w:eastAsia="仿宋" w:hAnsi="仿宋"/>
          <w:sz w:val="32"/>
          <w:szCs w:val="32"/>
        </w:rPr>
        <w:t>5.9%</w:t>
      </w:r>
      <w:r w:rsidR="00AE4420">
        <w:rPr>
          <w:rFonts w:ascii="仿宋" w:eastAsia="仿宋" w:hAnsi="仿宋" w:hint="eastAsia"/>
          <w:sz w:val="32"/>
          <w:szCs w:val="32"/>
        </w:rPr>
        <w:t>，</w:t>
      </w:r>
      <w:r w:rsidR="00153465" w:rsidRPr="009D61DE">
        <w:rPr>
          <w:rFonts w:ascii="仿宋" w:eastAsia="仿宋" w:hAnsi="仿宋" w:hint="eastAsia"/>
          <w:sz w:val="32"/>
          <w:szCs w:val="32"/>
        </w:rPr>
        <w:t>税收收入</w:t>
      </w:r>
      <w:r w:rsidR="00153465" w:rsidRPr="009D61DE">
        <w:rPr>
          <w:rFonts w:ascii="仿宋" w:eastAsia="仿宋" w:hAnsi="仿宋"/>
          <w:sz w:val="32"/>
          <w:szCs w:val="32"/>
        </w:rPr>
        <w:t>86.2</w:t>
      </w:r>
      <w:r w:rsidR="00153465" w:rsidRPr="009D61DE">
        <w:rPr>
          <w:rFonts w:ascii="仿宋" w:eastAsia="仿宋" w:hAnsi="仿宋" w:hint="eastAsia"/>
          <w:sz w:val="32"/>
          <w:szCs w:val="32"/>
        </w:rPr>
        <w:t>亿元，增长</w:t>
      </w:r>
      <w:r w:rsidR="00153465" w:rsidRPr="009D61DE">
        <w:rPr>
          <w:rFonts w:ascii="仿宋" w:eastAsia="仿宋" w:hAnsi="仿宋"/>
          <w:sz w:val="32"/>
          <w:szCs w:val="32"/>
        </w:rPr>
        <w:t>6.6%</w:t>
      </w:r>
      <w:r w:rsidR="00153465" w:rsidRPr="009D61DE">
        <w:rPr>
          <w:rFonts w:ascii="仿宋" w:eastAsia="仿宋" w:hAnsi="仿宋" w:hint="eastAsia"/>
          <w:sz w:val="32"/>
          <w:szCs w:val="32"/>
        </w:rPr>
        <w:t>。全市</w:t>
      </w:r>
      <w:r w:rsidR="007A2FE0">
        <w:rPr>
          <w:rFonts w:ascii="仿宋" w:eastAsia="仿宋" w:hAnsi="仿宋" w:hint="eastAsia"/>
          <w:sz w:val="32"/>
          <w:szCs w:val="32"/>
        </w:rPr>
        <w:t>地</w:t>
      </w:r>
      <w:r w:rsidR="007A2FE0">
        <w:rPr>
          <w:rFonts w:ascii="仿宋" w:eastAsia="仿宋" w:hAnsi="仿宋"/>
          <w:sz w:val="32"/>
          <w:szCs w:val="32"/>
        </w:rPr>
        <w:t>方</w:t>
      </w:r>
      <w:r w:rsidR="00153465" w:rsidRPr="009D61DE">
        <w:rPr>
          <w:rFonts w:ascii="仿宋" w:eastAsia="仿宋" w:hAnsi="仿宋" w:hint="eastAsia"/>
          <w:sz w:val="32"/>
          <w:szCs w:val="32"/>
        </w:rPr>
        <w:t>一般公共预算支出</w:t>
      </w:r>
      <w:r w:rsidR="00153465" w:rsidRPr="009D61DE">
        <w:rPr>
          <w:rFonts w:ascii="仿宋" w:eastAsia="仿宋" w:hAnsi="仿宋"/>
          <w:sz w:val="32"/>
          <w:szCs w:val="32"/>
        </w:rPr>
        <w:t>405.9</w:t>
      </w:r>
      <w:r w:rsidR="00153465" w:rsidRPr="009D61DE">
        <w:rPr>
          <w:rFonts w:ascii="仿宋" w:eastAsia="仿宋" w:hAnsi="仿宋" w:hint="eastAsia"/>
          <w:sz w:val="32"/>
          <w:szCs w:val="32"/>
        </w:rPr>
        <w:t>亿元，比上年增长</w:t>
      </w:r>
      <w:r w:rsidR="00153465" w:rsidRPr="009D61DE">
        <w:rPr>
          <w:rFonts w:ascii="仿宋" w:eastAsia="仿宋" w:hAnsi="仿宋"/>
          <w:sz w:val="32"/>
          <w:szCs w:val="32"/>
        </w:rPr>
        <w:t>8.5%</w:t>
      </w:r>
      <w:r w:rsidR="00011B4F">
        <w:rPr>
          <w:rFonts w:ascii="仿宋" w:eastAsia="仿宋" w:hAnsi="仿宋" w:hint="eastAsia"/>
          <w:sz w:val="32"/>
          <w:szCs w:val="32"/>
        </w:rPr>
        <w:t>；</w:t>
      </w:r>
      <w:r w:rsidR="00011B4F">
        <w:rPr>
          <w:rFonts w:ascii="仿宋" w:eastAsia="仿宋" w:hAnsi="仿宋"/>
          <w:sz w:val="32"/>
          <w:szCs w:val="32"/>
        </w:rPr>
        <w:t>其中，一般公共服务支出增长</w:t>
      </w:r>
      <w:r w:rsidR="00011B4F">
        <w:rPr>
          <w:rFonts w:ascii="仿宋" w:eastAsia="仿宋" w:hAnsi="仿宋" w:hint="eastAsia"/>
          <w:sz w:val="32"/>
          <w:szCs w:val="32"/>
        </w:rPr>
        <w:t>7.0%，</w:t>
      </w:r>
      <w:r w:rsidR="00011B4F">
        <w:rPr>
          <w:rFonts w:ascii="仿宋" w:eastAsia="仿宋" w:hAnsi="仿宋"/>
          <w:sz w:val="32"/>
          <w:szCs w:val="32"/>
        </w:rPr>
        <w:t>教育增长</w:t>
      </w:r>
      <w:r w:rsidR="00011B4F">
        <w:rPr>
          <w:rFonts w:ascii="仿宋" w:eastAsia="仿宋" w:hAnsi="仿宋" w:hint="eastAsia"/>
          <w:sz w:val="32"/>
          <w:szCs w:val="32"/>
        </w:rPr>
        <w:t>4.5%，</w:t>
      </w:r>
      <w:r w:rsidR="00011B4F">
        <w:rPr>
          <w:rFonts w:ascii="仿宋" w:eastAsia="仿宋" w:hAnsi="仿宋"/>
          <w:sz w:val="32"/>
          <w:szCs w:val="32"/>
        </w:rPr>
        <w:t>科</w:t>
      </w:r>
      <w:r w:rsidR="00011B4F">
        <w:rPr>
          <w:rFonts w:ascii="仿宋" w:eastAsia="仿宋" w:hAnsi="仿宋" w:hint="eastAsia"/>
          <w:sz w:val="32"/>
          <w:szCs w:val="32"/>
        </w:rPr>
        <w:t>学</w:t>
      </w:r>
      <w:r w:rsidR="00011B4F">
        <w:rPr>
          <w:rFonts w:ascii="仿宋" w:eastAsia="仿宋" w:hAnsi="仿宋"/>
          <w:sz w:val="32"/>
          <w:szCs w:val="32"/>
        </w:rPr>
        <w:t>技术增长</w:t>
      </w:r>
      <w:r w:rsidR="00011B4F">
        <w:rPr>
          <w:rFonts w:ascii="仿宋" w:eastAsia="仿宋" w:hAnsi="仿宋" w:hint="eastAsia"/>
          <w:sz w:val="32"/>
          <w:szCs w:val="32"/>
        </w:rPr>
        <w:t>31.2%，</w:t>
      </w:r>
      <w:r w:rsidR="00011B4F">
        <w:rPr>
          <w:rFonts w:ascii="仿宋" w:eastAsia="仿宋" w:hAnsi="仿宋"/>
          <w:sz w:val="32"/>
          <w:szCs w:val="32"/>
        </w:rPr>
        <w:t>公共安全增长</w:t>
      </w:r>
      <w:r w:rsidR="00011B4F">
        <w:rPr>
          <w:rFonts w:ascii="仿宋" w:eastAsia="仿宋" w:hAnsi="仿宋" w:hint="eastAsia"/>
          <w:sz w:val="32"/>
          <w:szCs w:val="32"/>
        </w:rPr>
        <w:t>11%，</w:t>
      </w:r>
      <w:r w:rsidR="00011B4F">
        <w:rPr>
          <w:rFonts w:ascii="仿宋" w:eastAsia="仿宋" w:hAnsi="仿宋"/>
          <w:sz w:val="32"/>
          <w:szCs w:val="32"/>
        </w:rPr>
        <w:t>社会保障和就业增长</w:t>
      </w:r>
      <w:r w:rsidR="00011B4F">
        <w:rPr>
          <w:rFonts w:ascii="仿宋" w:eastAsia="仿宋" w:hAnsi="仿宋" w:hint="eastAsia"/>
          <w:sz w:val="32"/>
          <w:szCs w:val="32"/>
        </w:rPr>
        <w:t>16.3%，</w:t>
      </w:r>
      <w:r w:rsidR="00011B4F">
        <w:rPr>
          <w:rFonts w:ascii="仿宋" w:eastAsia="仿宋" w:hAnsi="仿宋"/>
          <w:sz w:val="32"/>
          <w:szCs w:val="32"/>
        </w:rPr>
        <w:t>卫生健康增长</w:t>
      </w:r>
      <w:r w:rsidR="00011B4F">
        <w:rPr>
          <w:rFonts w:ascii="仿宋" w:eastAsia="仿宋" w:hAnsi="仿宋" w:hint="eastAsia"/>
          <w:sz w:val="32"/>
          <w:szCs w:val="32"/>
        </w:rPr>
        <w:t>3.4%，城乡</w:t>
      </w:r>
      <w:r w:rsidR="00011B4F">
        <w:rPr>
          <w:rFonts w:ascii="仿宋" w:eastAsia="仿宋" w:hAnsi="仿宋"/>
          <w:sz w:val="32"/>
          <w:szCs w:val="32"/>
        </w:rPr>
        <w:t>社区事务增长</w:t>
      </w:r>
      <w:r w:rsidR="00011B4F">
        <w:rPr>
          <w:rFonts w:ascii="仿宋" w:eastAsia="仿宋" w:hAnsi="仿宋" w:hint="eastAsia"/>
          <w:sz w:val="32"/>
          <w:szCs w:val="32"/>
        </w:rPr>
        <w:t>11.8%。</w:t>
      </w:r>
    </w:p>
    <w:p w:rsidR="005945D0" w:rsidRDefault="005945D0" w:rsidP="00153465">
      <w:pPr>
        <w:jc w:val="center"/>
      </w:pPr>
      <w:r>
        <w:rPr>
          <w:noProof/>
        </w:rPr>
        <w:drawing>
          <wp:inline distT="0" distB="0" distL="0" distR="0">
            <wp:extent cx="4572000" cy="24384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53465" w:rsidRDefault="00153465" w:rsidP="00153465">
      <w:pPr>
        <w:ind w:firstLineChars="200" w:firstLine="640"/>
        <w:rPr>
          <w:rFonts w:ascii="仿宋" w:eastAsia="仿宋" w:hAnsi="仿宋"/>
          <w:sz w:val="32"/>
          <w:szCs w:val="32"/>
        </w:rPr>
      </w:pPr>
      <w:r w:rsidRPr="009D61DE">
        <w:rPr>
          <w:rFonts w:ascii="仿宋" w:eastAsia="仿宋" w:hAnsi="仿宋" w:hint="eastAsia"/>
          <w:sz w:val="32"/>
          <w:szCs w:val="32"/>
        </w:rPr>
        <w:t>年末</w:t>
      </w:r>
      <w:r w:rsidR="00483AE3">
        <w:rPr>
          <w:rFonts w:ascii="仿宋" w:eastAsia="仿宋" w:hAnsi="仿宋" w:hint="eastAsia"/>
          <w:sz w:val="32"/>
          <w:szCs w:val="32"/>
        </w:rPr>
        <w:t>全市</w:t>
      </w:r>
      <w:r>
        <w:rPr>
          <w:rFonts w:ascii="仿宋" w:eastAsia="仿宋" w:hAnsi="仿宋" w:hint="eastAsia"/>
          <w:sz w:val="32"/>
          <w:szCs w:val="32"/>
        </w:rPr>
        <w:t>各类</w:t>
      </w:r>
      <w:r w:rsidRPr="009D61DE">
        <w:rPr>
          <w:rFonts w:ascii="仿宋" w:eastAsia="仿宋" w:hAnsi="仿宋" w:hint="eastAsia"/>
          <w:sz w:val="32"/>
          <w:szCs w:val="32"/>
        </w:rPr>
        <w:t>金融机构本外币各项存款余额</w:t>
      </w:r>
      <w:r w:rsidRPr="009D61DE">
        <w:rPr>
          <w:rFonts w:ascii="仿宋" w:eastAsia="仿宋" w:hAnsi="仿宋"/>
          <w:sz w:val="32"/>
          <w:szCs w:val="32"/>
        </w:rPr>
        <w:t>2533.6</w:t>
      </w:r>
      <w:r w:rsidRPr="009D61DE">
        <w:rPr>
          <w:rFonts w:ascii="仿宋" w:eastAsia="仿宋" w:hAnsi="仿宋" w:hint="eastAsia"/>
          <w:sz w:val="32"/>
          <w:szCs w:val="32"/>
        </w:rPr>
        <w:t>亿元，比年初增加</w:t>
      </w:r>
      <w:r w:rsidRPr="009D61DE">
        <w:rPr>
          <w:rFonts w:ascii="仿宋" w:eastAsia="仿宋" w:hAnsi="仿宋"/>
          <w:sz w:val="32"/>
          <w:szCs w:val="32"/>
        </w:rPr>
        <w:t>167.7</w:t>
      </w:r>
      <w:r w:rsidRPr="009D61DE">
        <w:rPr>
          <w:rFonts w:ascii="仿宋" w:eastAsia="仿宋" w:hAnsi="仿宋" w:hint="eastAsia"/>
          <w:sz w:val="32"/>
          <w:szCs w:val="32"/>
        </w:rPr>
        <w:t>亿元，其中住户存款1643.7亿元，比</w:t>
      </w:r>
      <w:r w:rsidRPr="009D61DE">
        <w:rPr>
          <w:rFonts w:ascii="仿宋" w:eastAsia="仿宋" w:hAnsi="仿宋"/>
          <w:sz w:val="32"/>
          <w:szCs w:val="32"/>
        </w:rPr>
        <w:t>年初</w:t>
      </w:r>
      <w:r w:rsidRPr="009D61DE">
        <w:rPr>
          <w:rFonts w:ascii="仿宋" w:eastAsia="仿宋" w:hAnsi="仿宋" w:hint="eastAsia"/>
          <w:sz w:val="32"/>
          <w:szCs w:val="32"/>
        </w:rPr>
        <w:t>增加</w:t>
      </w:r>
      <w:r w:rsidRPr="009D61DE">
        <w:rPr>
          <w:rFonts w:ascii="仿宋" w:eastAsia="仿宋" w:hAnsi="仿宋"/>
          <w:sz w:val="32"/>
          <w:szCs w:val="32"/>
        </w:rPr>
        <w:t>218.9</w:t>
      </w:r>
      <w:r w:rsidR="001A67C0">
        <w:rPr>
          <w:rFonts w:ascii="仿宋" w:eastAsia="仿宋" w:hAnsi="仿宋" w:hint="eastAsia"/>
          <w:sz w:val="32"/>
          <w:szCs w:val="32"/>
        </w:rPr>
        <w:t>亿元。</w:t>
      </w:r>
      <w:r w:rsidRPr="009D61DE">
        <w:rPr>
          <w:rFonts w:ascii="仿宋" w:eastAsia="仿宋" w:hAnsi="仿宋" w:hint="eastAsia"/>
          <w:sz w:val="32"/>
          <w:szCs w:val="32"/>
        </w:rPr>
        <w:t>金融机构本外币各项贷款余额</w:t>
      </w:r>
      <w:r w:rsidRPr="009D61DE">
        <w:rPr>
          <w:rFonts w:ascii="仿宋" w:eastAsia="仿宋" w:hAnsi="仿宋"/>
          <w:sz w:val="32"/>
          <w:szCs w:val="32"/>
        </w:rPr>
        <w:t>1520.7</w:t>
      </w:r>
      <w:r w:rsidRPr="009D61DE">
        <w:rPr>
          <w:rFonts w:ascii="仿宋" w:eastAsia="仿宋" w:hAnsi="仿宋" w:hint="eastAsia"/>
          <w:sz w:val="32"/>
          <w:szCs w:val="32"/>
        </w:rPr>
        <w:t>亿元，比</w:t>
      </w:r>
      <w:r w:rsidRPr="009D61DE">
        <w:rPr>
          <w:rFonts w:ascii="仿宋" w:eastAsia="仿宋" w:hAnsi="仿宋"/>
          <w:sz w:val="32"/>
          <w:szCs w:val="32"/>
        </w:rPr>
        <w:t>年初</w:t>
      </w:r>
      <w:r w:rsidRPr="009D61DE">
        <w:rPr>
          <w:rFonts w:ascii="仿宋" w:eastAsia="仿宋" w:hAnsi="仿宋" w:hint="eastAsia"/>
          <w:sz w:val="32"/>
          <w:szCs w:val="32"/>
        </w:rPr>
        <w:t>增加</w:t>
      </w:r>
      <w:r w:rsidRPr="009D61DE">
        <w:rPr>
          <w:rFonts w:ascii="仿宋" w:eastAsia="仿宋" w:hAnsi="仿宋"/>
          <w:sz w:val="32"/>
          <w:szCs w:val="32"/>
        </w:rPr>
        <w:t>102.2</w:t>
      </w:r>
      <w:r w:rsidRPr="009D61DE">
        <w:rPr>
          <w:rFonts w:ascii="仿宋" w:eastAsia="仿宋" w:hAnsi="仿宋" w:hint="eastAsia"/>
          <w:sz w:val="32"/>
          <w:szCs w:val="32"/>
        </w:rPr>
        <w:t>亿元，其中非金融</w:t>
      </w:r>
      <w:r w:rsidRPr="009D61DE">
        <w:rPr>
          <w:rFonts w:ascii="仿宋" w:eastAsia="仿宋" w:hAnsi="仿宋"/>
          <w:sz w:val="32"/>
          <w:szCs w:val="32"/>
        </w:rPr>
        <w:t>机构及机关团体贷款</w:t>
      </w:r>
      <w:r w:rsidRPr="009D61DE">
        <w:rPr>
          <w:rFonts w:ascii="仿宋" w:eastAsia="仿宋" w:hAnsi="仿宋" w:hint="eastAsia"/>
          <w:sz w:val="32"/>
          <w:szCs w:val="32"/>
        </w:rPr>
        <w:t>余额</w:t>
      </w:r>
      <w:r w:rsidRPr="009D61DE">
        <w:rPr>
          <w:rFonts w:ascii="仿宋" w:eastAsia="仿宋" w:hAnsi="仿宋"/>
          <w:sz w:val="32"/>
          <w:szCs w:val="32"/>
        </w:rPr>
        <w:t>1076.6</w:t>
      </w:r>
      <w:r w:rsidRPr="009D61DE">
        <w:rPr>
          <w:rFonts w:ascii="仿宋" w:eastAsia="仿宋" w:hAnsi="仿宋" w:hint="eastAsia"/>
          <w:sz w:val="32"/>
          <w:szCs w:val="32"/>
        </w:rPr>
        <w:t>亿元，比</w:t>
      </w:r>
      <w:r w:rsidRPr="009D61DE">
        <w:rPr>
          <w:rFonts w:ascii="仿宋" w:eastAsia="仿宋" w:hAnsi="仿宋"/>
          <w:sz w:val="32"/>
          <w:szCs w:val="32"/>
        </w:rPr>
        <w:t>年初</w:t>
      </w:r>
      <w:r w:rsidRPr="009D61DE">
        <w:rPr>
          <w:rFonts w:ascii="仿宋" w:eastAsia="仿宋" w:hAnsi="仿宋" w:hint="eastAsia"/>
          <w:sz w:val="32"/>
          <w:szCs w:val="32"/>
        </w:rPr>
        <w:t>增加</w:t>
      </w:r>
      <w:r w:rsidRPr="009D61DE">
        <w:rPr>
          <w:rFonts w:ascii="仿宋" w:eastAsia="仿宋" w:hAnsi="仿宋"/>
          <w:sz w:val="32"/>
          <w:szCs w:val="32"/>
        </w:rPr>
        <w:t>67.4</w:t>
      </w:r>
      <w:r w:rsidRPr="009D61DE">
        <w:rPr>
          <w:rFonts w:ascii="仿宋" w:eastAsia="仿宋" w:hAnsi="仿宋" w:hint="eastAsia"/>
          <w:sz w:val="32"/>
          <w:szCs w:val="32"/>
        </w:rPr>
        <w:t>亿元。</w:t>
      </w:r>
    </w:p>
    <w:tbl>
      <w:tblPr>
        <w:tblW w:w="7011" w:type="dxa"/>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2984"/>
        <w:gridCol w:w="1778"/>
        <w:gridCol w:w="2249"/>
      </w:tblGrid>
      <w:tr w:rsidR="00B02255" w:rsidRPr="00C67D87" w:rsidTr="00B81BCE">
        <w:trPr>
          <w:trHeight w:val="470"/>
          <w:jc w:val="center"/>
        </w:trPr>
        <w:tc>
          <w:tcPr>
            <w:tcW w:w="7011" w:type="dxa"/>
            <w:gridSpan w:val="3"/>
            <w:tcBorders>
              <w:top w:val="nil"/>
              <w:bottom w:val="single" w:sz="4" w:space="0" w:color="auto"/>
            </w:tcBorders>
            <w:shd w:val="clear" w:color="auto" w:fill="auto"/>
            <w:noWrap/>
            <w:vAlign w:val="center"/>
          </w:tcPr>
          <w:p w:rsidR="00B02255" w:rsidRPr="005206DB" w:rsidRDefault="00C375E7" w:rsidP="00D730C3">
            <w:pPr>
              <w:widowControl/>
              <w:jc w:val="center"/>
              <w:rPr>
                <w:rFonts w:ascii="宋体" w:eastAsia="宋体" w:hAnsi="宋体" w:cs="宋体"/>
                <w:b/>
                <w:color w:val="000000"/>
                <w:kern w:val="0"/>
                <w:sz w:val="24"/>
                <w:szCs w:val="24"/>
              </w:rPr>
            </w:pPr>
            <w:r w:rsidRPr="005206DB">
              <w:rPr>
                <w:rFonts w:ascii="宋体" w:eastAsia="宋体" w:hAnsi="宋体" w:cs="宋体" w:hint="eastAsia"/>
                <w:b/>
                <w:color w:val="000000"/>
                <w:kern w:val="0"/>
                <w:sz w:val="24"/>
                <w:szCs w:val="24"/>
              </w:rPr>
              <w:lastRenderedPageBreak/>
              <w:t>表</w:t>
            </w:r>
            <w:r w:rsidR="00BF7C36">
              <w:rPr>
                <w:rFonts w:ascii="宋体" w:eastAsia="宋体" w:hAnsi="宋体" w:cs="宋体"/>
                <w:b/>
                <w:color w:val="000000"/>
                <w:kern w:val="0"/>
                <w:sz w:val="24"/>
                <w:szCs w:val="24"/>
              </w:rPr>
              <w:t>4</w:t>
            </w:r>
            <w:r w:rsidR="00B02255" w:rsidRPr="005206DB">
              <w:rPr>
                <w:rFonts w:ascii="宋体" w:eastAsia="宋体" w:hAnsi="宋体" w:cs="宋体" w:hint="eastAsia"/>
                <w:b/>
                <w:color w:val="000000"/>
                <w:kern w:val="0"/>
                <w:sz w:val="24"/>
                <w:szCs w:val="24"/>
              </w:rPr>
              <w:t>2019年年</w:t>
            </w:r>
            <w:r w:rsidR="00B02255" w:rsidRPr="005206DB">
              <w:rPr>
                <w:rFonts w:ascii="宋体" w:eastAsia="宋体" w:hAnsi="宋体" w:cs="宋体"/>
                <w:b/>
                <w:color w:val="000000"/>
                <w:kern w:val="0"/>
                <w:sz w:val="24"/>
                <w:szCs w:val="24"/>
              </w:rPr>
              <w:t>末</w:t>
            </w:r>
            <w:r w:rsidR="00B02255" w:rsidRPr="005206DB">
              <w:rPr>
                <w:rFonts w:ascii="宋体" w:eastAsia="宋体" w:hAnsi="宋体" w:cs="宋体" w:hint="eastAsia"/>
                <w:b/>
                <w:color w:val="000000"/>
                <w:kern w:val="0"/>
                <w:sz w:val="24"/>
                <w:szCs w:val="24"/>
              </w:rPr>
              <w:t>金融</w:t>
            </w:r>
            <w:r w:rsidR="00B02255" w:rsidRPr="005206DB">
              <w:rPr>
                <w:rFonts w:ascii="宋体" w:eastAsia="宋体" w:hAnsi="宋体" w:cs="宋体"/>
                <w:b/>
                <w:color w:val="000000"/>
                <w:kern w:val="0"/>
                <w:sz w:val="24"/>
                <w:szCs w:val="24"/>
              </w:rPr>
              <w:t>机构本外币存贷款余额</w:t>
            </w:r>
          </w:p>
        </w:tc>
      </w:tr>
      <w:tr w:rsidR="00C67D87" w:rsidRPr="00C67D87" w:rsidTr="00B81BCE">
        <w:trPr>
          <w:trHeight w:val="470"/>
          <w:jc w:val="center"/>
        </w:trPr>
        <w:tc>
          <w:tcPr>
            <w:tcW w:w="2984" w:type="dxa"/>
            <w:tcBorders>
              <w:top w:val="single" w:sz="4" w:space="0" w:color="auto"/>
              <w:bottom w:val="single" w:sz="4" w:space="0" w:color="auto"/>
            </w:tcBorders>
            <w:shd w:val="clear" w:color="auto" w:fill="auto"/>
            <w:noWrap/>
            <w:vAlign w:val="center"/>
            <w:hideMark/>
          </w:tcPr>
          <w:p w:rsidR="00C67D87" w:rsidRPr="00C67D87" w:rsidRDefault="00C67D87" w:rsidP="00C67D87">
            <w:pPr>
              <w:widowControl/>
              <w:jc w:val="center"/>
              <w:rPr>
                <w:rFonts w:ascii="宋体" w:eastAsia="宋体" w:hAnsi="宋体" w:cs="宋体"/>
                <w:color w:val="000000"/>
                <w:kern w:val="0"/>
                <w:sz w:val="22"/>
              </w:rPr>
            </w:pPr>
            <w:r w:rsidRPr="00C67D87">
              <w:rPr>
                <w:rFonts w:ascii="宋体" w:eastAsia="宋体" w:hAnsi="宋体" w:cs="宋体" w:hint="eastAsia"/>
                <w:color w:val="000000"/>
                <w:kern w:val="0"/>
                <w:sz w:val="22"/>
              </w:rPr>
              <w:t>指标</w:t>
            </w:r>
          </w:p>
        </w:tc>
        <w:tc>
          <w:tcPr>
            <w:tcW w:w="1778" w:type="dxa"/>
            <w:tcBorders>
              <w:top w:val="single" w:sz="4" w:space="0" w:color="auto"/>
              <w:bottom w:val="single" w:sz="4" w:space="0" w:color="auto"/>
            </w:tcBorders>
            <w:shd w:val="clear" w:color="auto" w:fill="auto"/>
            <w:noWrap/>
            <w:vAlign w:val="center"/>
            <w:hideMark/>
          </w:tcPr>
          <w:p w:rsidR="00C67D87" w:rsidRDefault="00C67D87" w:rsidP="00C67D87">
            <w:pPr>
              <w:widowControl/>
              <w:jc w:val="center"/>
              <w:rPr>
                <w:rFonts w:ascii="宋体" w:eastAsia="宋体" w:hAnsi="宋体" w:cs="宋体"/>
                <w:color w:val="000000"/>
                <w:kern w:val="0"/>
                <w:sz w:val="22"/>
              </w:rPr>
            </w:pPr>
            <w:r w:rsidRPr="00C67D87">
              <w:rPr>
                <w:rFonts w:ascii="宋体" w:eastAsia="宋体" w:hAnsi="宋体" w:cs="宋体" w:hint="eastAsia"/>
                <w:color w:val="000000"/>
                <w:kern w:val="0"/>
                <w:sz w:val="22"/>
              </w:rPr>
              <w:t>年末数</w:t>
            </w:r>
          </w:p>
          <w:p w:rsidR="00C67D87" w:rsidRPr="00C67D87" w:rsidRDefault="00C67D87" w:rsidP="00C67D87">
            <w:pPr>
              <w:widowControl/>
              <w:jc w:val="center"/>
              <w:rPr>
                <w:rFonts w:ascii="宋体" w:eastAsia="宋体" w:hAnsi="宋体" w:cs="宋体"/>
                <w:color w:val="000000"/>
                <w:kern w:val="0"/>
                <w:sz w:val="22"/>
              </w:rPr>
            </w:pPr>
            <w:r w:rsidRPr="00C67D87">
              <w:rPr>
                <w:rFonts w:ascii="宋体" w:eastAsia="宋体" w:hAnsi="宋体" w:cs="宋体" w:hint="eastAsia"/>
                <w:color w:val="000000"/>
                <w:kern w:val="0"/>
                <w:sz w:val="22"/>
              </w:rPr>
              <w:t>（万元）</w:t>
            </w:r>
          </w:p>
        </w:tc>
        <w:tc>
          <w:tcPr>
            <w:tcW w:w="2249" w:type="dxa"/>
            <w:tcBorders>
              <w:top w:val="single" w:sz="4" w:space="0" w:color="auto"/>
              <w:bottom w:val="single" w:sz="4" w:space="0" w:color="auto"/>
            </w:tcBorders>
            <w:shd w:val="clear" w:color="auto" w:fill="auto"/>
            <w:noWrap/>
            <w:vAlign w:val="center"/>
            <w:hideMark/>
          </w:tcPr>
          <w:p w:rsidR="00C67D87" w:rsidRDefault="00C67D87" w:rsidP="00C67D87">
            <w:pPr>
              <w:widowControl/>
              <w:jc w:val="center"/>
              <w:rPr>
                <w:rFonts w:ascii="宋体" w:eastAsia="宋体" w:hAnsi="宋体" w:cs="宋体"/>
                <w:color w:val="000000"/>
                <w:kern w:val="0"/>
                <w:sz w:val="22"/>
              </w:rPr>
            </w:pPr>
            <w:r w:rsidRPr="00C67D87">
              <w:rPr>
                <w:rFonts w:ascii="宋体" w:eastAsia="宋体" w:hAnsi="宋体" w:cs="宋体" w:hint="eastAsia"/>
                <w:color w:val="000000"/>
                <w:kern w:val="0"/>
                <w:sz w:val="22"/>
              </w:rPr>
              <w:t>比年初增加</w:t>
            </w:r>
          </w:p>
          <w:p w:rsidR="00C67D87" w:rsidRPr="00C67D87" w:rsidRDefault="00C67D87" w:rsidP="00C67D87">
            <w:pPr>
              <w:widowControl/>
              <w:jc w:val="center"/>
              <w:rPr>
                <w:rFonts w:ascii="宋体" w:eastAsia="宋体" w:hAnsi="宋体" w:cs="宋体"/>
                <w:color w:val="000000"/>
                <w:kern w:val="0"/>
                <w:sz w:val="22"/>
              </w:rPr>
            </w:pPr>
            <w:r w:rsidRPr="00C67D87">
              <w:rPr>
                <w:rFonts w:ascii="宋体" w:eastAsia="宋体" w:hAnsi="宋体" w:cs="宋体" w:hint="eastAsia"/>
                <w:color w:val="000000"/>
                <w:kern w:val="0"/>
                <w:sz w:val="22"/>
              </w:rPr>
              <w:t>（万元）</w:t>
            </w:r>
          </w:p>
        </w:tc>
      </w:tr>
      <w:tr w:rsidR="00C67D87" w:rsidRPr="00C67D87" w:rsidTr="00B81BCE">
        <w:trPr>
          <w:trHeight w:val="470"/>
          <w:jc w:val="center"/>
        </w:trPr>
        <w:tc>
          <w:tcPr>
            <w:tcW w:w="2984" w:type="dxa"/>
            <w:tcBorders>
              <w:top w:val="single" w:sz="4" w:space="0" w:color="auto"/>
            </w:tcBorders>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各项存款</w:t>
            </w:r>
          </w:p>
        </w:tc>
        <w:tc>
          <w:tcPr>
            <w:tcW w:w="1778" w:type="dxa"/>
            <w:tcBorders>
              <w:top w:val="single" w:sz="4" w:space="0" w:color="auto"/>
            </w:tcBorders>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25335644.30 </w:t>
            </w:r>
          </w:p>
        </w:tc>
        <w:tc>
          <w:tcPr>
            <w:tcW w:w="2249" w:type="dxa"/>
            <w:tcBorders>
              <w:top w:val="single" w:sz="4" w:space="0" w:color="auto"/>
            </w:tcBorders>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1676673.18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 xml:space="preserve">   境内存款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25333189.12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1677134.69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 xml:space="preserve"> 其中：住户存款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16437413.69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2188643.25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 xml:space="preserve">       非金融企业存款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4963096.49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-247203.97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 xml:space="preserve">       广义政府存款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3932214.23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-232943.56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各项贷款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15206668.45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1022208.17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 xml:space="preserve">   境内贷款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15206089.77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1022256.54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20"/>
                <w:szCs w:val="20"/>
              </w:rPr>
            </w:pPr>
            <w:r w:rsidRPr="00C67D87">
              <w:rPr>
                <w:rFonts w:ascii="宋体" w:eastAsia="宋体" w:hAnsi="宋体" w:cs="宋体" w:hint="eastAsia"/>
                <w:kern w:val="0"/>
                <w:sz w:val="20"/>
                <w:szCs w:val="20"/>
              </w:rPr>
              <w:t>其中：住户贷款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4439350.62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348070.95 </w:t>
            </w:r>
          </w:p>
        </w:tc>
      </w:tr>
      <w:tr w:rsidR="00C67D87" w:rsidRPr="00C67D87" w:rsidTr="00B81BCE">
        <w:trPr>
          <w:trHeight w:val="470"/>
          <w:jc w:val="center"/>
        </w:trPr>
        <w:tc>
          <w:tcPr>
            <w:tcW w:w="2984" w:type="dxa"/>
            <w:shd w:val="clear" w:color="auto" w:fill="auto"/>
            <w:noWrap/>
            <w:vAlign w:val="center"/>
            <w:hideMark/>
          </w:tcPr>
          <w:p w:rsidR="00C67D87" w:rsidRPr="00C67D87" w:rsidRDefault="00C67D87" w:rsidP="00C67D87">
            <w:pPr>
              <w:widowControl/>
              <w:jc w:val="left"/>
              <w:rPr>
                <w:rFonts w:ascii="宋体" w:eastAsia="宋体" w:hAnsi="宋体" w:cs="宋体"/>
                <w:kern w:val="0"/>
                <w:sz w:val="16"/>
                <w:szCs w:val="16"/>
              </w:rPr>
            </w:pPr>
            <w:r w:rsidRPr="00C67D87">
              <w:rPr>
                <w:rFonts w:ascii="宋体" w:eastAsia="宋体" w:hAnsi="宋体" w:cs="宋体" w:hint="eastAsia"/>
                <w:kern w:val="0"/>
                <w:sz w:val="20"/>
                <w:szCs w:val="20"/>
              </w:rPr>
              <w:t xml:space="preserve">　    </w:t>
            </w:r>
            <w:r w:rsidRPr="00C67D87">
              <w:rPr>
                <w:rFonts w:ascii="宋体" w:eastAsia="宋体" w:hAnsi="宋体" w:cs="宋体" w:hint="eastAsia"/>
                <w:kern w:val="0"/>
                <w:sz w:val="16"/>
                <w:szCs w:val="16"/>
              </w:rPr>
              <w:t>非金融企业及机关团体贷款</w:t>
            </w:r>
          </w:p>
        </w:tc>
        <w:tc>
          <w:tcPr>
            <w:tcW w:w="1778"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10766249.15 </w:t>
            </w:r>
          </w:p>
        </w:tc>
        <w:tc>
          <w:tcPr>
            <w:tcW w:w="2249" w:type="dxa"/>
            <w:shd w:val="clear" w:color="auto" w:fill="auto"/>
            <w:noWrap/>
            <w:vAlign w:val="center"/>
            <w:hideMark/>
          </w:tcPr>
          <w:p w:rsidR="00C67D87" w:rsidRPr="00C67D87" w:rsidRDefault="00C67D87" w:rsidP="00C67D87">
            <w:pPr>
              <w:widowControl/>
              <w:jc w:val="right"/>
              <w:rPr>
                <w:rFonts w:ascii="Times New Roman" w:eastAsia="宋体" w:hAnsi="Times New Roman" w:cs="Times New Roman"/>
                <w:color w:val="000000"/>
                <w:kern w:val="0"/>
                <w:sz w:val="20"/>
                <w:szCs w:val="20"/>
              </w:rPr>
            </w:pPr>
            <w:r w:rsidRPr="00C67D87">
              <w:rPr>
                <w:rFonts w:ascii="Times New Roman" w:eastAsia="宋体" w:hAnsi="Times New Roman" w:cs="Times New Roman"/>
                <w:color w:val="000000"/>
                <w:kern w:val="0"/>
                <w:sz w:val="20"/>
                <w:szCs w:val="20"/>
              </w:rPr>
              <w:t xml:space="preserve">674185.59 </w:t>
            </w:r>
          </w:p>
        </w:tc>
      </w:tr>
    </w:tbl>
    <w:p w:rsidR="00153465" w:rsidRDefault="00153465" w:rsidP="002D2C0F">
      <w:pPr>
        <w:spacing w:beforeLines="50" w:before="156" w:afterLines="50" w:after="156"/>
        <w:ind w:firstLineChars="250" w:firstLine="800"/>
        <w:rPr>
          <w:rFonts w:ascii="仿宋" w:eastAsia="仿宋" w:hAnsi="仿宋"/>
          <w:sz w:val="32"/>
          <w:szCs w:val="32"/>
        </w:rPr>
      </w:pPr>
      <w:r w:rsidRPr="00BE7C25">
        <w:rPr>
          <w:rFonts w:ascii="仿宋" w:eastAsia="仿宋" w:hAnsi="仿宋" w:hint="eastAsia"/>
          <w:sz w:val="32"/>
          <w:szCs w:val="32"/>
        </w:rPr>
        <w:t>全</w:t>
      </w:r>
      <w:r w:rsidRPr="00BE7C25">
        <w:rPr>
          <w:rFonts w:ascii="仿宋" w:eastAsia="仿宋" w:hAnsi="仿宋"/>
          <w:sz w:val="32"/>
          <w:szCs w:val="32"/>
        </w:rPr>
        <w:t>年</w:t>
      </w:r>
      <w:r w:rsidR="00483AE3">
        <w:rPr>
          <w:rFonts w:ascii="仿宋" w:eastAsia="仿宋" w:hAnsi="仿宋" w:hint="eastAsia"/>
          <w:sz w:val="32"/>
          <w:szCs w:val="32"/>
        </w:rPr>
        <w:t>全市</w:t>
      </w:r>
      <w:r w:rsidRPr="00BE7C25">
        <w:rPr>
          <w:rFonts w:ascii="仿宋" w:eastAsia="仿宋" w:hAnsi="仿宋"/>
          <w:sz w:val="32"/>
          <w:szCs w:val="32"/>
        </w:rPr>
        <w:t>保险公司</w:t>
      </w:r>
      <w:r w:rsidR="00BD6C45">
        <w:rPr>
          <w:rFonts w:ascii="仿宋" w:eastAsia="仿宋" w:hAnsi="仿宋" w:hint="eastAsia"/>
          <w:sz w:val="32"/>
          <w:szCs w:val="32"/>
        </w:rPr>
        <w:t>原</w:t>
      </w:r>
      <w:r w:rsidR="00BD6C45">
        <w:rPr>
          <w:rFonts w:ascii="仿宋" w:eastAsia="仿宋" w:hAnsi="仿宋"/>
          <w:sz w:val="32"/>
          <w:szCs w:val="32"/>
        </w:rPr>
        <w:t>保险</w:t>
      </w:r>
      <w:r w:rsidRPr="00BE7C25">
        <w:rPr>
          <w:rFonts w:ascii="仿宋" w:eastAsia="仿宋" w:hAnsi="仿宋"/>
          <w:sz w:val="32"/>
          <w:szCs w:val="32"/>
        </w:rPr>
        <w:t>保费收入84.2亿元，比上年增长11.5%。其中，寿险</w:t>
      </w:r>
      <w:r w:rsidR="00BD6C45">
        <w:rPr>
          <w:rFonts w:ascii="仿宋" w:eastAsia="仿宋" w:hAnsi="仿宋" w:hint="eastAsia"/>
          <w:sz w:val="32"/>
          <w:szCs w:val="32"/>
        </w:rPr>
        <w:t>业</w:t>
      </w:r>
      <w:r w:rsidR="00BD6C45">
        <w:rPr>
          <w:rFonts w:ascii="仿宋" w:eastAsia="仿宋" w:hAnsi="仿宋"/>
          <w:sz w:val="32"/>
          <w:szCs w:val="32"/>
        </w:rPr>
        <w:t>务原保险</w:t>
      </w:r>
      <w:r w:rsidRPr="00BE7C25">
        <w:rPr>
          <w:rFonts w:ascii="仿宋" w:eastAsia="仿宋" w:hAnsi="仿宋"/>
          <w:sz w:val="32"/>
          <w:szCs w:val="32"/>
        </w:rPr>
        <w:t>保费收入62亿元</w:t>
      </w:r>
      <w:r w:rsidR="00056F65" w:rsidRPr="00056F65">
        <w:rPr>
          <w:rFonts w:ascii="仿宋" w:eastAsia="仿宋" w:hAnsi="仿宋"/>
          <w:sz w:val="32"/>
          <w:szCs w:val="32"/>
        </w:rPr>
        <w:t>（健康险和意外伤害险业务原保险保费收入14.9亿元）</w:t>
      </w:r>
      <w:r w:rsidRPr="00BE7C25">
        <w:rPr>
          <w:rFonts w:ascii="仿宋" w:eastAsia="仿宋" w:hAnsi="仿宋"/>
          <w:sz w:val="32"/>
          <w:szCs w:val="32"/>
        </w:rPr>
        <w:t>，财产险</w:t>
      </w:r>
      <w:r w:rsidR="00BD6C45">
        <w:rPr>
          <w:rFonts w:ascii="仿宋" w:eastAsia="仿宋" w:hAnsi="仿宋" w:hint="eastAsia"/>
          <w:sz w:val="32"/>
          <w:szCs w:val="32"/>
        </w:rPr>
        <w:t>业</w:t>
      </w:r>
      <w:r w:rsidR="00BD6C45">
        <w:rPr>
          <w:rFonts w:ascii="仿宋" w:eastAsia="仿宋" w:hAnsi="仿宋"/>
          <w:sz w:val="32"/>
          <w:szCs w:val="32"/>
        </w:rPr>
        <w:t>务原</w:t>
      </w:r>
      <w:r w:rsidR="00BD6C45">
        <w:rPr>
          <w:rFonts w:ascii="仿宋" w:eastAsia="仿宋" w:hAnsi="仿宋" w:hint="eastAsia"/>
          <w:sz w:val="32"/>
          <w:szCs w:val="32"/>
        </w:rPr>
        <w:t>保险</w:t>
      </w:r>
      <w:r w:rsidRPr="00BE7C25">
        <w:rPr>
          <w:rFonts w:ascii="仿宋" w:eastAsia="仿宋" w:hAnsi="仿宋"/>
          <w:sz w:val="32"/>
          <w:szCs w:val="32"/>
        </w:rPr>
        <w:t>保费收入22.1亿元。支付各类赔款及给付23.5亿元。其中，寿险业务给付9.9亿元</w:t>
      </w:r>
      <w:r w:rsidR="00056F65" w:rsidRPr="00056F65">
        <w:rPr>
          <w:rFonts w:ascii="仿宋" w:eastAsia="仿宋" w:hAnsi="仿宋"/>
          <w:sz w:val="32"/>
          <w:szCs w:val="32"/>
        </w:rPr>
        <w:t>（健康险和意外伤害险业务赔款及给付2.8亿元）</w:t>
      </w:r>
      <w:r w:rsidRPr="00BE7C25">
        <w:rPr>
          <w:rFonts w:ascii="仿宋" w:eastAsia="仿宋" w:hAnsi="仿宋"/>
          <w:sz w:val="32"/>
          <w:szCs w:val="32"/>
        </w:rPr>
        <w:t>，财产险业务赔款13.5亿元。</w:t>
      </w:r>
    </w:p>
    <w:p w:rsidR="00153465" w:rsidRPr="00E8078A" w:rsidRDefault="00153465" w:rsidP="002D2C0F">
      <w:pPr>
        <w:spacing w:before="50" w:afterLines="50" w:after="156"/>
        <w:ind w:firstLineChars="200" w:firstLine="640"/>
        <w:rPr>
          <w:rFonts w:ascii="黑体" w:eastAsia="黑体" w:hAnsi="黑体"/>
          <w:sz w:val="32"/>
          <w:szCs w:val="32"/>
        </w:rPr>
      </w:pPr>
      <w:r w:rsidRPr="00E8078A">
        <w:rPr>
          <w:rFonts w:ascii="黑体" w:eastAsia="黑体" w:hAnsi="黑体" w:hint="eastAsia"/>
          <w:sz w:val="32"/>
          <w:szCs w:val="32"/>
        </w:rPr>
        <w:t>九、居民收入</w:t>
      </w:r>
      <w:r>
        <w:rPr>
          <w:rFonts w:ascii="黑体" w:eastAsia="黑体" w:hAnsi="黑体" w:hint="eastAsia"/>
          <w:sz w:val="32"/>
          <w:szCs w:val="32"/>
        </w:rPr>
        <w:t>、</w:t>
      </w:r>
      <w:r w:rsidRPr="00E8078A">
        <w:rPr>
          <w:rFonts w:ascii="黑体" w:eastAsia="黑体" w:hAnsi="黑体" w:hint="eastAsia"/>
          <w:sz w:val="32"/>
          <w:szCs w:val="32"/>
        </w:rPr>
        <w:t>消费和社会保障</w:t>
      </w:r>
    </w:p>
    <w:p w:rsidR="00153465" w:rsidRDefault="004917C7" w:rsidP="002D2C0F">
      <w:pPr>
        <w:spacing w:before="50" w:afterLines="50" w:after="156"/>
        <w:ind w:firstLineChars="200" w:firstLine="640"/>
        <w:rPr>
          <w:rFonts w:ascii="仿宋" w:eastAsia="仿宋" w:hAnsi="仿宋" w:cs="Times New Roman"/>
          <w:sz w:val="32"/>
          <w:szCs w:val="32"/>
        </w:rPr>
      </w:pPr>
      <w:r>
        <w:rPr>
          <w:rFonts w:ascii="仿宋" w:eastAsia="仿宋" w:hAnsi="仿宋" w:hint="eastAsia"/>
          <w:sz w:val="32"/>
          <w:szCs w:val="32"/>
        </w:rPr>
        <w:t>全年</w:t>
      </w:r>
      <w:r w:rsidR="00420DB4">
        <w:rPr>
          <w:rFonts w:ascii="仿宋" w:eastAsia="仿宋" w:hAnsi="仿宋" w:hint="eastAsia"/>
          <w:sz w:val="32"/>
          <w:szCs w:val="32"/>
        </w:rPr>
        <w:t>全市</w:t>
      </w:r>
      <w:r w:rsidR="00A26A80">
        <w:rPr>
          <w:rFonts w:ascii="仿宋" w:eastAsia="仿宋" w:hAnsi="仿宋" w:hint="eastAsia"/>
          <w:sz w:val="32"/>
          <w:szCs w:val="32"/>
        </w:rPr>
        <w:t>常住</w:t>
      </w:r>
      <w:r w:rsidR="00153465" w:rsidRPr="00A26A80">
        <w:rPr>
          <w:rFonts w:ascii="仿宋" w:eastAsia="仿宋" w:hAnsi="仿宋" w:hint="eastAsia"/>
          <w:sz w:val="32"/>
          <w:szCs w:val="32"/>
        </w:rPr>
        <w:t>居民人均可支配收入</w:t>
      </w:r>
      <w:r w:rsidR="00A26A80" w:rsidRPr="00A26A80">
        <w:rPr>
          <w:rFonts w:ascii="仿宋" w:eastAsia="仿宋" w:hAnsi="仿宋"/>
          <w:sz w:val="32"/>
          <w:szCs w:val="32"/>
        </w:rPr>
        <w:t>22211</w:t>
      </w:r>
      <w:r w:rsidR="00153465" w:rsidRPr="00A26A80">
        <w:rPr>
          <w:rFonts w:ascii="仿宋" w:eastAsia="仿宋" w:hAnsi="仿宋" w:hint="eastAsia"/>
          <w:sz w:val="32"/>
          <w:szCs w:val="32"/>
        </w:rPr>
        <w:t>元，比上年增长</w:t>
      </w:r>
      <w:r w:rsidR="00A26A80" w:rsidRPr="00A26A80">
        <w:rPr>
          <w:rFonts w:ascii="仿宋" w:eastAsia="仿宋" w:hAnsi="仿宋"/>
          <w:sz w:val="32"/>
          <w:szCs w:val="32"/>
        </w:rPr>
        <w:t>9.5</w:t>
      </w:r>
      <w:r w:rsidR="00153465" w:rsidRPr="00A26A80">
        <w:rPr>
          <w:rFonts w:ascii="仿宋" w:eastAsia="仿宋" w:hAnsi="仿宋"/>
          <w:sz w:val="32"/>
          <w:szCs w:val="32"/>
        </w:rPr>
        <w:t>%</w:t>
      </w:r>
      <w:r w:rsidR="00153465" w:rsidRPr="00A26A80">
        <w:rPr>
          <w:rFonts w:ascii="仿宋" w:eastAsia="仿宋" w:hAnsi="仿宋" w:hint="eastAsia"/>
          <w:sz w:val="32"/>
          <w:szCs w:val="32"/>
        </w:rPr>
        <w:t>。</w:t>
      </w:r>
      <w:r w:rsidR="00153465" w:rsidRPr="00E8078A">
        <w:rPr>
          <w:rFonts w:ascii="仿宋" w:eastAsia="仿宋" w:hAnsi="仿宋" w:hint="eastAsia"/>
          <w:sz w:val="32"/>
          <w:szCs w:val="32"/>
        </w:rPr>
        <w:t>按常住地分，城镇</w:t>
      </w:r>
      <w:r w:rsidR="00A26A80">
        <w:rPr>
          <w:rFonts w:ascii="仿宋" w:eastAsia="仿宋" w:hAnsi="仿宋" w:hint="eastAsia"/>
          <w:sz w:val="32"/>
          <w:szCs w:val="32"/>
        </w:rPr>
        <w:t>常住</w:t>
      </w:r>
      <w:r w:rsidR="00153465" w:rsidRPr="00E8078A">
        <w:rPr>
          <w:rFonts w:ascii="仿宋" w:eastAsia="仿宋" w:hAnsi="仿宋" w:hint="eastAsia"/>
          <w:sz w:val="32"/>
          <w:szCs w:val="32"/>
        </w:rPr>
        <w:t>居民人均可支配收入</w:t>
      </w:r>
      <w:r w:rsidR="00153465" w:rsidRPr="00E8078A">
        <w:rPr>
          <w:rFonts w:ascii="仿宋" w:eastAsia="仿宋" w:hAnsi="仿宋"/>
          <w:sz w:val="32"/>
          <w:szCs w:val="32"/>
        </w:rPr>
        <w:t>33577</w:t>
      </w:r>
      <w:r w:rsidR="00153465" w:rsidRPr="00E8078A">
        <w:rPr>
          <w:rFonts w:ascii="仿宋" w:eastAsia="仿宋" w:hAnsi="仿宋" w:hint="eastAsia"/>
          <w:sz w:val="32"/>
          <w:szCs w:val="32"/>
        </w:rPr>
        <w:t>元，比上年增长</w:t>
      </w:r>
      <w:r w:rsidR="00153465" w:rsidRPr="00E8078A">
        <w:rPr>
          <w:rFonts w:ascii="仿宋" w:eastAsia="仿宋" w:hAnsi="仿宋"/>
          <w:sz w:val="32"/>
          <w:szCs w:val="32"/>
        </w:rPr>
        <w:t>9.1%</w:t>
      </w:r>
      <w:r w:rsidR="00153465" w:rsidRPr="00E8078A">
        <w:rPr>
          <w:rFonts w:ascii="仿宋" w:eastAsia="仿宋" w:hAnsi="仿宋" w:hint="eastAsia"/>
          <w:sz w:val="32"/>
          <w:szCs w:val="32"/>
        </w:rPr>
        <w:t>。农村</w:t>
      </w:r>
      <w:r w:rsidR="00A26A80">
        <w:rPr>
          <w:rFonts w:ascii="仿宋" w:eastAsia="仿宋" w:hAnsi="仿宋" w:hint="eastAsia"/>
          <w:sz w:val="32"/>
          <w:szCs w:val="32"/>
        </w:rPr>
        <w:t>常住</w:t>
      </w:r>
      <w:r w:rsidR="00153465" w:rsidRPr="00E8078A">
        <w:rPr>
          <w:rFonts w:ascii="仿宋" w:eastAsia="仿宋" w:hAnsi="仿宋" w:hint="eastAsia"/>
          <w:sz w:val="32"/>
          <w:szCs w:val="32"/>
        </w:rPr>
        <w:t>居民人均可支配收入</w:t>
      </w:r>
      <w:r w:rsidR="00153465" w:rsidRPr="00E8078A">
        <w:rPr>
          <w:rFonts w:ascii="仿宋" w:eastAsia="仿宋" w:hAnsi="仿宋"/>
          <w:sz w:val="32"/>
          <w:szCs w:val="32"/>
        </w:rPr>
        <w:t>11378</w:t>
      </w:r>
      <w:r w:rsidR="00153465" w:rsidRPr="00E8078A">
        <w:rPr>
          <w:rFonts w:ascii="仿宋" w:eastAsia="仿宋" w:hAnsi="仿宋" w:hint="eastAsia"/>
          <w:sz w:val="32"/>
          <w:szCs w:val="32"/>
        </w:rPr>
        <w:t>元，比上年增长</w:t>
      </w:r>
      <w:r w:rsidR="00153465" w:rsidRPr="00E8078A">
        <w:rPr>
          <w:rFonts w:ascii="仿宋" w:eastAsia="仿宋" w:hAnsi="仿宋"/>
          <w:sz w:val="32"/>
          <w:szCs w:val="32"/>
        </w:rPr>
        <w:t>10.5%</w:t>
      </w:r>
      <w:r w:rsidR="00153465" w:rsidRPr="00E8078A">
        <w:rPr>
          <w:rFonts w:ascii="仿宋" w:eastAsia="仿宋" w:hAnsi="仿宋" w:hint="eastAsia"/>
          <w:sz w:val="32"/>
          <w:szCs w:val="32"/>
        </w:rPr>
        <w:t>；</w:t>
      </w:r>
      <w:r w:rsidR="00153465" w:rsidRPr="00E8078A">
        <w:rPr>
          <w:rFonts w:ascii="仿宋" w:eastAsia="仿宋" w:hAnsi="仿宋" w:cs="Times New Roman" w:hint="eastAsia"/>
          <w:sz w:val="32"/>
          <w:szCs w:val="32"/>
        </w:rPr>
        <w:t>城乡</w:t>
      </w:r>
      <w:r w:rsidR="00A26A80">
        <w:rPr>
          <w:rFonts w:ascii="仿宋" w:eastAsia="仿宋" w:hAnsi="仿宋" w:cs="Times New Roman" w:hint="eastAsia"/>
          <w:sz w:val="32"/>
          <w:szCs w:val="32"/>
        </w:rPr>
        <w:t>常住</w:t>
      </w:r>
      <w:r w:rsidR="00153465" w:rsidRPr="00E8078A">
        <w:rPr>
          <w:rFonts w:ascii="仿宋" w:eastAsia="仿宋" w:hAnsi="仿宋" w:cs="Times New Roman" w:hint="eastAsia"/>
          <w:sz w:val="32"/>
          <w:szCs w:val="32"/>
        </w:rPr>
        <w:t>居民人均可支配收入比值为</w:t>
      </w:r>
      <w:r w:rsidR="00153465" w:rsidRPr="00E8078A">
        <w:rPr>
          <w:rFonts w:ascii="仿宋" w:eastAsia="仿宋" w:hAnsi="仿宋" w:cs="Times New Roman"/>
          <w:sz w:val="32"/>
          <w:szCs w:val="32"/>
        </w:rPr>
        <w:t>2.95</w:t>
      </w:r>
      <w:r w:rsidR="00153465" w:rsidRPr="00E8078A">
        <w:rPr>
          <w:rFonts w:ascii="仿宋" w:eastAsia="仿宋" w:hAnsi="仿宋" w:cs="Times New Roman" w:hint="eastAsia"/>
          <w:sz w:val="32"/>
          <w:szCs w:val="32"/>
        </w:rPr>
        <w:t>，比上年缩小0.0</w:t>
      </w:r>
      <w:r w:rsidR="00153465" w:rsidRPr="00E8078A">
        <w:rPr>
          <w:rFonts w:ascii="仿宋" w:eastAsia="仿宋" w:hAnsi="仿宋" w:cs="Times New Roman"/>
          <w:sz w:val="32"/>
          <w:szCs w:val="32"/>
        </w:rPr>
        <w:t>4</w:t>
      </w:r>
      <w:r w:rsidR="00153465" w:rsidRPr="00E8078A">
        <w:rPr>
          <w:rFonts w:ascii="仿宋" w:eastAsia="仿宋" w:hAnsi="仿宋" w:cs="Times New Roman" w:hint="eastAsia"/>
          <w:sz w:val="32"/>
          <w:szCs w:val="32"/>
        </w:rPr>
        <w:t>。</w:t>
      </w:r>
    </w:p>
    <w:p w:rsidR="007E2C05" w:rsidRPr="00E8078A" w:rsidRDefault="007E2C05" w:rsidP="001C4636">
      <w:pPr>
        <w:ind w:firstLineChars="200" w:firstLine="420"/>
        <w:jc w:val="center"/>
        <w:rPr>
          <w:rFonts w:ascii="仿宋" w:eastAsia="仿宋" w:hAnsi="仿宋"/>
          <w:sz w:val="32"/>
          <w:szCs w:val="32"/>
        </w:rPr>
      </w:pPr>
      <w:r>
        <w:rPr>
          <w:noProof/>
        </w:rPr>
        <w:lastRenderedPageBreak/>
        <w:drawing>
          <wp:inline distT="0" distB="0" distL="0" distR="0">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3465" w:rsidRDefault="001D39A6" w:rsidP="00B80A28">
      <w:pPr>
        <w:spacing w:beforeLines="50" w:before="156" w:afterLines="50" w:after="156"/>
        <w:ind w:firstLineChars="200" w:firstLine="640"/>
        <w:rPr>
          <w:rFonts w:ascii="仿宋" w:eastAsia="仿宋" w:hAnsi="仿宋"/>
          <w:sz w:val="32"/>
          <w:szCs w:val="32"/>
        </w:rPr>
      </w:pPr>
      <w:r>
        <w:rPr>
          <w:rFonts w:ascii="仿宋" w:eastAsia="仿宋" w:hAnsi="仿宋"/>
          <w:sz w:val="32"/>
          <w:szCs w:val="32"/>
        </w:rPr>
        <w:t>全年</w:t>
      </w:r>
      <w:r w:rsidR="00420DB4">
        <w:rPr>
          <w:rFonts w:ascii="仿宋" w:eastAsia="仿宋" w:hAnsi="仿宋" w:hint="eastAsia"/>
          <w:sz w:val="32"/>
          <w:szCs w:val="32"/>
        </w:rPr>
        <w:t>全市</w:t>
      </w:r>
      <w:r w:rsidR="00A26A80">
        <w:rPr>
          <w:rFonts w:ascii="仿宋" w:eastAsia="仿宋" w:hAnsi="仿宋" w:hint="eastAsia"/>
          <w:sz w:val="32"/>
          <w:szCs w:val="32"/>
        </w:rPr>
        <w:t>常住</w:t>
      </w:r>
      <w:r w:rsidR="00153465" w:rsidRPr="006B27EC">
        <w:rPr>
          <w:rFonts w:ascii="仿宋" w:eastAsia="仿宋" w:hAnsi="仿宋"/>
          <w:sz w:val="32"/>
          <w:szCs w:val="32"/>
        </w:rPr>
        <w:t>居民人均消费支出15702元，比上年增长9.9%。按常住地分，城镇</w:t>
      </w:r>
      <w:r w:rsidR="00A26A80">
        <w:rPr>
          <w:rFonts w:ascii="仿宋" w:eastAsia="仿宋" w:hAnsi="仿宋" w:hint="eastAsia"/>
          <w:sz w:val="32"/>
          <w:szCs w:val="32"/>
        </w:rPr>
        <w:t>常住</w:t>
      </w:r>
      <w:r w:rsidR="00153465" w:rsidRPr="006B27EC">
        <w:rPr>
          <w:rFonts w:ascii="仿宋" w:eastAsia="仿宋" w:hAnsi="仿宋"/>
          <w:sz w:val="32"/>
          <w:szCs w:val="32"/>
        </w:rPr>
        <w:t>居民人均消费支出21642元，增长10.9%；农村</w:t>
      </w:r>
      <w:r w:rsidR="00A26A80">
        <w:rPr>
          <w:rFonts w:ascii="仿宋" w:eastAsia="仿宋" w:hAnsi="仿宋" w:hint="eastAsia"/>
          <w:sz w:val="32"/>
          <w:szCs w:val="32"/>
        </w:rPr>
        <w:t>常住</w:t>
      </w:r>
      <w:r w:rsidR="00153465" w:rsidRPr="006B27EC">
        <w:rPr>
          <w:rFonts w:ascii="仿宋" w:eastAsia="仿宋" w:hAnsi="仿宋"/>
          <w:sz w:val="32"/>
          <w:szCs w:val="32"/>
        </w:rPr>
        <w:t>居民人均消费支出10041元，增长13.8%。全市居民恩格尔系数为31.8%，比上年下降0.4个百分点，其中城镇为29.8%，农村为36.8%。</w:t>
      </w:r>
    </w:p>
    <w:p w:rsidR="00153465" w:rsidRPr="00B55A1E" w:rsidRDefault="00420DB4" w:rsidP="00B80A28">
      <w:pPr>
        <w:widowControl/>
        <w:shd w:val="clear" w:color="auto" w:fill="FFFFFF"/>
        <w:spacing w:beforeLines="50" w:before="156" w:afterLines="50" w:after="156"/>
        <w:ind w:firstLineChars="200" w:firstLine="640"/>
        <w:rPr>
          <w:rFonts w:ascii="仿宋" w:eastAsia="仿宋" w:hAnsi="仿宋"/>
          <w:sz w:val="32"/>
          <w:szCs w:val="32"/>
        </w:rPr>
      </w:pPr>
      <w:r>
        <w:rPr>
          <w:rFonts w:ascii="仿宋" w:eastAsia="仿宋" w:hAnsi="仿宋"/>
          <w:sz w:val="32"/>
          <w:szCs w:val="32"/>
        </w:rPr>
        <w:t>年末</w:t>
      </w:r>
      <w:r>
        <w:rPr>
          <w:rFonts w:ascii="仿宋" w:eastAsia="仿宋" w:hAnsi="仿宋" w:hint="eastAsia"/>
          <w:sz w:val="32"/>
          <w:szCs w:val="32"/>
        </w:rPr>
        <w:t>全</w:t>
      </w:r>
      <w:r>
        <w:rPr>
          <w:rFonts w:ascii="仿宋" w:eastAsia="仿宋" w:hAnsi="仿宋"/>
          <w:sz w:val="32"/>
          <w:szCs w:val="32"/>
        </w:rPr>
        <w:t>市</w:t>
      </w:r>
      <w:r w:rsidR="00B55A1E" w:rsidRPr="00B55A1E">
        <w:rPr>
          <w:rFonts w:ascii="仿宋" w:eastAsia="仿宋" w:hAnsi="仿宋"/>
          <w:sz w:val="32"/>
          <w:szCs w:val="32"/>
        </w:rPr>
        <w:t>参加城镇职工基本养老保险57.34万人，其中，在职职工39.99万人，离退休人员17.35万人；参加城乡居民基本养老保险152.49万人；参加城镇职工基本医疗保险49</w:t>
      </w:r>
      <w:r w:rsidR="003329E7">
        <w:rPr>
          <w:rFonts w:ascii="仿宋" w:eastAsia="仿宋" w:hAnsi="仿宋"/>
          <w:sz w:val="32"/>
          <w:szCs w:val="32"/>
        </w:rPr>
        <w:t>.</w:t>
      </w:r>
      <w:r w:rsidR="00B55A1E" w:rsidRPr="00B55A1E">
        <w:rPr>
          <w:rFonts w:ascii="仿宋" w:eastAsia="仿宋" w:hAnsi="仿宋"/>
          <w:sz w:val="32"/>
          <w:szCs w:val="32"/>
        </w:rPr>
        <w:t>7</w:t>
      </w:r>
      <w:r w:rsidR="00B55A1E">
        <w:rPr>
          <w:rFonts w:ascii="仿宋" w:eastAsia="仿宋" w:hAnsi="仿宋"/>
          <w:sz w:val="32"/>
          <w:szCs w:val="32"/>
        </w:rPr>
        <w:t>3</w:t>
      </w:r>
      <w:r w:rsidR="00B55A1E">
        <w:rPr>
          <w:rFonts w:ascii="仿宋" w:eastAsia="仿宋" w:hAnsi="仿宋" w:hint="eastAsia"/>
          <w:sz w:val="32"/>
          <w:szCs w:val="32"/>
        </w:rPr>
        <w:t>万</w:t>
      </w:r>
      <w:r w:rsidR="00B55A1E" w:rsidRPr="00B55A1E">
        <w:rPr>
          <w:rFonts w:ascii="仿宋" w:eastAsia="仿宋" w:hAnsi="仿宋"/>
          <w:sz w:val="32"/>
          <w:szCs w:val="32"/>
        </w:rPr>
        <w:t>人；参加城乡居民基本医疗保险261</w:t>
      </w:r>
      <w:r w:rsidR="00B55A1E">
        <w:rPr>
          <w:rFonts w:ascii="仿宋" w:eastAsia="仿宋" w:hAnsi="仿宋"/>
          <w:sz w:val="32"/>
          <w:szCs w:val="32"/>
        </w:rPr>
        <w:t>.21</w:t>
      </w:r>
      <w:r w:rsidR="00B55A1E">
        <w:rPr>
          <w:rFonts w:ascii="仿宋" w:eastAsia="仿宋" w:hAnsi="仿宋" w:hint="eastAsia"/>
          <w:sz w:val="32"/>
          <w:szCs w:val="32"/>
        </w:rPr>
        <w:t>万</w:t>
      </w:r>
      <w:r w:rsidR="00B55A1E" w:rsidRPr="00B55A1E">
        <w:rPr>
          <w:rFonts w:ascii="仿宋" w:eastAsia="仿宋" w:hAnsi="仿宋"/>
          <w:sz w:val="32"/>
          <w:szCs w:val="32"/>
        </w:rPr>
        <w:t>人；参加工伤保险34</w:t>
      </w:r>
      <w:r w:rsidR="00B55A1E">
        <w:rPr>
          <w:rFonts w:ascii="仿宋" w:eastAsia="仿宋" w:hAnsi="仿宋"/>
          <w:sz w:val="32"/>
          <w:szCs w:val="32"/>
        </w:rPr>
        <w:t>.45</w:t>
      </w:r>
      <w:r w:rsidR="00B55A1E">
        <w:rPr>
          <w:rFonts w:ascii="仿宋" w:eastAsia="仿宋" w:hAnsi="仿宋" w:hint="eastAsia"/>
          <w:sz w:val="32"/>
          <w:szCs w:val="32"/>
        </w:rPr>
        <w:t>万</w:t>
      </w:r>
      <w:r w:rsidR="00B55A1E" w:rsidRPr="00B55A1E">
        <w:rPr>
          <w:rFonts w:ascii="仿宋" w:eastAsia="仿宋" w:hAnsi="仿宋"/>
          <w:sz w:val="32"/>
          <w:szCs w:val="32"/>
        </w:rPr>
        <w:t>人；参加生育保险25</w:t>
      </w:r>
      <w:r w:rsidR="00B55A1E">
        <w:rPr>
          <w:rFonts w:ascii="仿宋" w:eastAsia="仿宋" w:hAnsi="仿宋"/>
          <w:sz w:val="32"/>
          <w:szCs w:val="32"/>
        </w:rPr>
        <w:t>.65</w:t>
      </w:r>
      <w:r w:rsidR="00B55A1E">
        <w:rPr>
          <w:rFonts w:ascii="仿宋" w:eastAsia="仿宋" w:hAnsi="仿宋" w:hint="eastAsia"/>
          <w:sz w:val="32"/>
          <w:szCs w:val="32"/>
        </w:rPr>
        <w:t>万</w:t>
      </w:r>
      <w:r w:rsidR="00B55A1E" w:rsidRPr="00B55A1E">
        <w:rPr>
          <w:rFonts w:ascii="仿宋" w:eastAsia="仿宋" w:hAnsi="仿宋"/>
          <w:sz w:val="32"/>
          <w:szCs w:val="32"/>
        </w:rPr>
        <w:t>人;参加失业保险人数25.32万人，年末领取失业保险金人数3</w:t>
      </w:r>
      <w:r w:rsidR="00B55A1E">
        <w:rPr>
          <w:rFonts w:ascii="仿宋" w:eastAsia="仿宋" w:hAnsi="仿宋"/>
          <w:sz w:val="32"/>
          <w:szCs w:val="32"/>
        </w:rPr>
        <w:t>.94</w:t>
      </w:r>
      <w:r w:rsidR="00B55A1E">
        <w:rPr>
          <w:rFonts w:ascii="仿宋" w:eastAsia="仿宋" w:hAnsi="仿宋" w:hint="eastAsia"/>
          <w:sz w:val="32"/>
          <w:szCs w:val="32"/>
        </w:rPr>
        <w:t>万</w:t>
      </w:r>
      <w:r w:rsidR="00B55A1E" w:rsidRPr="00B55A1E">
        <w:rPr>
          <w:rFonts w:ascii="仿宋" w:eastAsia="仿宋" w:hAnsi="仿宋"/>
          <w:sz w:val="32"/>
          <w:szCs w:val="32"/>
        </w:rPr>
        <w:t>人。</w:t>
      </w:r>
      <w:r w:rsidR="00D0755E" w:rsidRPr="00D0755E">
        <w:rPr>
          <w:rFonts w:ascii="仿宋" w:eastAsia="仿宋" w:hAnsi="仿宋"/>
          <w:sz w:val="32"/>
          <w:szCs w:val="32"/>
        </w:rPr>
        <w:t>全年全市城镇居民最低生活保障对象1</w:t>
      </w:r>
      <w:r w:rsidR="00B55A1E">
        <w:rPr>
          <w:rFonts w:ascii="仿宋" w:eastAsia="仿宋" w:hAnsi="仿宋"/>
          <w:sz w:val="32"/>
          <w:szCs w:val="32"/>
        </w:rPr>
        <w:t>.40</w:t>
      </w:r>
      <w:r w:rsidR="00B55A1E">
        <w:rPr>
          <w:rFonts w:ascii="仿宋" w:eastAsia="仿宋" w:hAnsi="仿宋" w:hint="eastAsia"/>
          <w:sz w:val="32"/>
          <w:szCs w:val="32"/>
        </w:rPr>
        <w:t>万</w:t>
      </w:r>
      <w:r w:rsidR="00D0755E" w:rsidRPr="00D0755E">
        <w:rPr>
          <w:rFonts w:ascii="仿宋" w:eastAsia="仿宋" w:hAnsi="仿宋"/>
          <w:sz w:val="32"/>
          <w:szCs w:val="32"/>
        </w:rPr>
        <w:t>人，农村居民最低生活保障人数15</w:t>
      </w:r>
      <w:r w:rsidR="00B55A1E">
        <w:rPr>
          <w:rFonts w:ascii="仿宋" w:eastAsia="仿宋" w:hAnsi="仿宋"/>
          <w:sz w:val="32"/>
          <w:szCs w:val="32"/>
        </w:rPr>
        <w:t>.89</w:t>
      </w:r>
      <w:r w:rsidR="00B55A1E">
        <w:rPr>
          <w:rFonts w:ascii="仿宋" w:eastAsia="仿宋" w:hAnsi="仿宋" w:hint="eastAsia"/>
          <w:sz w:val="32"/>
          <w:szCs w:val="32"/>
        </w:rPr>
        <w:t>万</w:t>
      </w:r>
      <w:r w:rsidR="00D0755E" w:rsidRPr="00D0755E">
        <w:rPr>
          <w:rFonts w:ascii="仿宋" w:eastAsia="仿宋" w:hAnsi="仿宋"/>
          <w:sz w:val="32"/>
          <w:szCs w:val="32"/>
        </w:rPr>
        <w:t>人。</w:t>
      </w:r>
    </w:p>
    <w:p w:rsidR="00153465" w:rsidRDefault="00153465" w:rsidP="00B80A28">
      <w:pPr>
        <w:spacing w:beforeLines="50" w:before="156" w:afterLines="50" w:after="156"/>
        <w:ind w:firstLineChars="200" w:firstLine="640"/>
        <w:rPr>
          <w:rFonts w:ascii="黑体" w:eastAsia="黑体" w:hAnsi="黑体"/>
          <w:sz w:val="32"/>
          <w:szCs w:val="32"/>
        </w:rPr>
      </w:pPr>
      <w:r w:rsidRPr="002B0617">
        <w:rPr>
          <w:rFonts w:ascii="黑体" w:eastAsia="黑体" w:hAnsi="黑体" w:hint="eastAsia"/>
          <w:sz w:val="32"/>
          <w:szCs w:val="32"/>
        </w:rPr>
        <w:t>十、科学技术和教育</w:t>
      </w:r>
    </w:p>
    <w:p w:rsidR="00153465" w:rsidRPr="007C5ED7" w:rsidRDefault="00153465" w:rsidP="00B80A28">
      <w:pPr>
        <w:spacing w:beforeLines="50" w:before="156" w:afterLines="50" w:after="156"/>
        <w:ind w:firstLineChars="200" w:firstLine="640"/>
        <w:rPr>
          <w:rFonts w:ascii="仿宋" w:eastAsia="仿宋" w:hAnsi="仿宋"/>
          <w:sz w:val="32"/>
          <w:szCs w:val="32"/>
        </w:rPr>
      </w:pPr>
      <w:r w:rsidRPr="007C5ED7">
        <w:rPr>
          <w:rFonts w:ascii="仿宋" w:eastAsia="仿宋" w:hAnsi="仿宋" w:hint="eastAsia"/>
          <w:sz w:val="32"/>
          <w:szCs w:val="32"/>
        </w:rPr>
        <w:lastRenderedPageBreak/>
        <w:t>全年</w:t>
      </w:r>
      <w:r w:rsidR="00420DB4">
        <w:rPr>
          <w:rFonts w:ascii="仿宋" w:eastAsia="仿宋" w:hAnsi="仿宋" w:hint="eastAsia"/>
          <w:sz w:val="32"/>
          <w:szCs w:val="32"/>
        </w:rPr>
        <w:t>全市</w:t>
      </w:r>
      <w:r w:rsidRPr="007C5ED7">
        <w:rPr>
          <w:rFonts w:ascii="仿宋" w:eastAsia="仿宋" w:hAnsi="仿宋" w:hint="eastAsia"/>
          <w:sz w:val="32"/>
          <w:szCs w:val="32"/>
        </w:rPr>
        <w:t>安排市级科技项目70项，科技投入1500万元；省级以上科研项目90项，科技投入2608.9万元。全年共签订技术合同1380项，技术合同成交金额66.46亿元，比上年增长74.48%。全年共登记科技成果41项，获省级科学技术奖励23项。</w:t>
      </w:r>
    </w:p>
    <w:p w:rsidR="00153465" w:rsidRDefault="00153465" w:rsidP="00B80A28">
      <w:pPr>
        <w:spacing w:beforeLines="50" w:before="156" w:afterLines="50" w:after="156"/>
        <w:ind w:firstLineChars="200" w:firstLine="640"/>
        <w:rPr>
          <w:rFonts w:ascii="仿宋" w:eastAsia="仿宋" w:hAnsi="仿宋"/>
          <w:sz w:val="32"/>
          <w:szCs w:val="32"/>
        </w:rPr>
      </w:pPr>
      <w:r w:rsidRPr="00311E8F">
        <w:rPr>
          <w:rFonts w:ascii="仿宋" w:eastAsia="仿宋" w:hAnsi="仿宋"/>
          <w:sz w:val="32"/>
          <w:szCs w:val="32"/>
        </w:rPr>
        <w:t>全年</w:t>
      </w:r>
      <w:r w:rsidR="00420DB4">
        <w:rPr>
          <w:rFonts w:ascii="仿宋" w:eastAsia="仿宋" w:hAnsi="仿宋" w:hint="eastAsia"/>
          <w:sz w:val="32"/>
          <w:szCs w:val="32"/>
        </w:rPr>
        <w:t>全市</w:t>
      </w:r>
      <w:r w:rsidRPr="00311E8F">
        <w:rPr>
          <w:rFonts w:ascii="仿宋" w:eastAsia="仿宋" w:hAnsi="仿宋"/>
          <w:sz w:val="32"/>
          <w:szCs w:val="32"/>
        </w:rPr>
        <w:t>中等职业教育招生10409人，在校生25749人，毕业生6617人。普通高中招生19395人，在校生52808人，毕业生16403人。初中招生39512人，在校生112375人，毕业生32847人。普通小学招生81840人，在校生361277人，毕业生71700人。特殊教育招生190人，在校生907人，毕业生80人。学前教育在园幼儿113890人。</w:t>
      </w:r>
    </w:p>
    <w:p w:rsidR="00153465" w:rsidRPr="008E763B" w:rsidRDefault="00153465" w:rsidP="00B80A28">
      <w:pPr>
        <w:spacing w:beforeLines="50" w:before="156" w:afterLines="50" w:after="156"/>
        <w:ind w:firstLineChars="200" w:firstLine="640"/>
        <w:rPr>
          <w:rFonts w:ascii="黑体" w:eastAsia="黑体" w:hAnsi="黑体"/>
          <w:sz w:val="32"/>
          <w:szCs w:val="32"/>
        </w:rPr>
      </w:pPr>
      <w:r w:rsidRPr="008E763B">
        <w:rPr>
          <w:rFonts w:ascii="黑体" w:eastAsia="黑体" w:hAnsi="黑体" w:hint="eastAsia"/>
          <w:sz w:val="32"/>
          <w:szCs w:val="32"/>
        </w:rPr>
        <w:t>十一、文化旅游、卫生健康和体育</w:t>
      </w:r>
    </w:p>
    <w:p w:rsidR="003E4C75" w:rsidRPr="003E4C75" w:rsidRDefault="003E4C75" w:rsidP="00B80A28">
      <w:pPr>
        <w:spacing w:beforeLines="50" w:before="156" w:afterLines="50" w:after="156"/>
        <w:ind w:firstLineChars="200" w:firstLine="640"/>
        <w:rPr>
          <w:rFonts w:ascii="仿宋" w:eastAsia="仿宋" w:hAnsi="Calibri" w:cs="宋体"/>
          <w:color w:val="000000"/>
          <w:kern w:val="0"/>
          <w:sz w:val="32"/>
          <w:szCs w:val="32"/>
          <w:shd w:val="clear" w:color="auto" w:fill="FFFFFF"/>
        </w:rPr>
      </w:pPr>
      <w:r w:rsidRPr="003E4C75">
        <w:rPr>
          <w:rFonts w:ascii="仿宋" w:eastAsia="仿宋" w:hAnsi="Calibri" w:cs="宋体"/>
          <w:color w:val="000000"/>
          <w:kern w:val="0"/>
          <w:sz w:val="32"/>
          <w:szCs w:val="32"/>
          <w:shd w:val="clear" w:color="auto" w:fill="FFFFFF"/>
        </w:rPr>
        <w:t>年末全市文化系统拥有各类艺术表演团体7个，艺术表演场所7个，公共图书馆8个，藏书162.41万册，群众艺术馆、文化馆9个，文物事业机构28个。全年共举办艺术活动1872场次，观众人数达到131</w:t>
      </w:r>
      <w:r w:rsidR="00EC5803">
        <w:rPr>
          <w:rFonts w:ascii="仿宋" w:eastAsia="仿宋" w:hAnsi="Calibri" w:cs="宋体"/>
          <w:color w:val="000000"/>
          <w:kern w:val="0"/>
          <w:sz w:val="32"/>
          <w:szCs w:val="32"/>
          <w:shd w:val="clear" w:color="auto" w:fill="FFFFFF"/>
        </w:rPr>
        <w:t>.86</w:t>
      </w:r>
      <w:r w:rsidR="00EC5803">
        <w:rPr>
          <w:rFonts w:ascii="仿宋" w:eastAsia="仿宋" w:hAnsi="Calibri" w:cs="宋体" w:hint="eastAsia"/>
          <w:color w:val="000000"/>
          <w:kern w:val="0"/>
          <w:sz w:val="32"/>
          <w:szCs w:val="32"/>
          <w:shd w:val="clear" w:color="auto" w:fill="FFFFFF"/>
        </w:rPr>
        <w:t>万</w:t>
      </w:r>
      <w:r w:rsidRPr="003E4C75">
        <w:rPr>
          <w:rFonts w:ascii="仿宋" w:eastAsia="仿宋" w:hAnsi="Calibri" w:cs="宋体"/>
          <w:color w:val="000000"/>
          <w:kern w:val="0"/>
          <w:sz w:val="32"/>
          <w:szCs w:val="32"/>
          <w:shd w:val="clear" w:color="auto" w:fill="FFFFFF"/>
        </w:rPr>
        <w:t>人次。全市共有博物馆12个，有陈列展览44个，全年举办群众性文化展览22次，参观人数达到174.53</w:t>
      </w:r>
      <w:r w:rsidR="00137B1A">
        <w:rPr>
          <w:rFonts w:ascii="仿宋" w:eastAsia="仿宋" w:hAnsi="Calibri" w:cs="宋体" w:hint="eastAsia"/>
          <w:color w:val="000000"/>
          <w:kern w:val="0"/>
          <w:sz w:val="32"/>
          <w:szCs w:val="32"/>
          <w:shd w:val="clear" w:color="auto" w:fill="FFFFFF"/>
        </w:rPr>
        <w:t>万</w:t>
      </w:r>
      <w:r w:rsidRPr="003E4C75">
        <w:rPr>
          <w:rFonts w:ascii="仿宋" w:eastAsia="仿宋" w:hAnsi="Calibri" w:cs="宋体"/>
          <w:color w:val="000000"/>
          <w:kern w:val="0"/>
          <w:sz w:val="32"/>
          <w:szCs w:val="32"/>
          <w:shd w:val="clear" w:color="auto" w:fill="FFFFFF"/>
        </w:rPr>
        <w:t>人次。</w:t>
      </w:r>
    </w:p>
    <w:p w:rsidR="00153465" w:rsidRDefault="00153465" w:rsidP="00B80A28">
      <w:pPr>
        <w:spacing w:beforeLines="50" w:before="156" w:afterLines="50" w:after="156"/>
        <w:ind w:firstLineChars="200" w:firstLine="640"/>
        <w:rPr>
          <w:rFonts w:ascii="仿宋" w:eastAsia="仿宋" w:hAnsi="Calibri" w:cs="宋体"/>
          <w:color w:val="000000"/>
          <w:kern w:val="0"/>
          <w:sz w:val="32"/>
          <w:szCs w:val="32"/>
          <w:shd w:val="clear" w:color="auto" w:fill="FFFFFF"/>
        </w:rPr>
      </w:pPr>
      <w:r w:rsidRPr="008E763B">
        <w:rPr>
          <w:rFonts w:ascii="仿宋" w:eastAsia="仿宋" w:hAnsi="Calibri" w:cs="宋体" w:hint="eastAsia"/>
          <w:color w:val="000000"/>
          <w:kern w:val="0"/>
          <w:sz w:val="32"/>
          <w:szCs w:val="32"/>
          <w:shd w:val="clear" w:color="auto" w:fill="FFFFFF"/>
        </w:rPr>
        <w:t>全年</w:t>
      </w:r>
      <w:r w:rsidR="00420DB4">
        <w:rPr>
          <w:rFonts w:ascii="仿宋" w:eastAsia="仿宋" w:hAnsi="Calibri" w:cs="宋体" w:hint="eastAsia"/>
          <w:color w:val="000000"/>
          <w:kern w:val="0"/>
          <w:sz w:val="32"/>
          <w:szCs w:val="32"/>
          <w:shd w:val="clear" w:color="auto" w:fill="FFFFFF"/>
        </w:rPr>
        <w:t>全市</w:t>
      </w:r>
      <w:r w:rsidRPr="008E763B">
        <w:rPr>
          <w:rFonts w:ascii="仿宋" w:eastAsia="仿宋" w:hAnsi="Calibri" w:cs="宋体" w:hint="eastAsia"/>
          <w:color w:val="000000"/>
          <w:kern w:val="0"/>
          <w:sz w:val="32"/>
          <w:szCs w:val="32"/>
          <w:shd w:val="clear" w:color="auto" w:fill="FFFFFF"/>
        </w:rPr>
        <w:t>旅游接待</w:t>
      </w:r>
      <w:r w:rsidRPr="008E763B">
        <w:rPr>
          <w:rFonts w:ascii="仿宋" w:eastAsia="仿宋" w:hAnsi="Calibri" w:cs="宋体"/>
          <w:color w:val="000000"/>
          <w:kern w:val="0"/>
          <w:sz w:val="32"/>
          <w:szCs w:val="32"/>
          <w:shd w:val="clear" w:color="auto" w:fill="FFFFFF"/>
        </w:rPr>
        <w:t>总人数7540.3</w:t>
      </w:r>
      <w:r w:rsidRPr="008E763B">
        <w:rPr>
          <w:rFonts w:ascii="仿宋" w:eastAsia="仿宋" w:hAnsi="Calibri" w:cs="宋体" w:hint="eastAsia"/>
          <w:color w:val="000000"/>
          <w:kern w:val="0"/>
          <w:sz w:val="32"/>
          <w:szCs w:val="32"/>
          <w:shd w:val="clear" w:color="auto" w:fill="FFFFFF"/>
        </w:rPr>
        <w:t>万人次，比上年增长</w:t>
      </w:r>
      <w:r w:rsidRPr="008E763B">
        <w:rPr>
          <w:rFonts w:ascii="仿宋" w:eastAsia="仿宋" w:hAnsi="Calibri" w:cs="宋体"/>
          <w:color w:val="000000"/>
          <w:kern w:val="0"/>
          <w:sz w:val="32"/>
          <w:szCs w:val="32"/>
          <w:shd w:val="clear" w:color="auto" w:fill="FFFFFF"/>
        </w:rPr>
        <w:t>15.8%</w:t>
      </w:r>
      <w:r w:rsidRPr="008E763B">
        <w:rPr>
          <w:rFonts w:ascii="仿宋" w:eastAsia="仿宋" w:hAnsi="Calibri" w:cs="宋体" w:hint="eastAsia"/>
          <w:color w:val="000000"/>
          <w:kern w:val="0"/>
          <w:sz w:val="32"/>
          <w:szCs w:val="32"/>
          <w:shd w:val="clear" w:color="auto" w:fill="FFFFFF"/>
        </w:rPr>
        <w:t>；旅游总收入</w:t>
      </w:r>
      <w:r w:rsidRPr="008E763B">
        <w:rPr>
          <w:rFonts w:ascii="仿宋" w:eastAsia="仿宋" w:hAnsi="Calibri" w:cs="宋体"/>
          <w:color w:val="000000"/>
          <w:kern w:val="0"/>
          <w:sz w:val="32"/>
          <w:szCs w:val="32"/>
          <w:shd w:val="clear" w:color="auto" w:fill="FFFFFF"/>
        </w:rPr>
        <w:t>773.3</w:t>
      </w:r>
      <w:r w:rsidRPr="008E763B">
        <w:rPr>
          <w:rFonts w:ascii="仿宋" w:eastAsia="仿宋" w:hAnsi="Calibri" w:cs="宋体" w:hint="eastAsia"/>
          <w:color w:val="000000"/>
          <w:kern w:val="0"/>
          <w:sz w:val="32"/>
          <w:szCs w:val="32"/>
          <w:shd w:val="clear" w:color="auto" w:fill="FFFFFF"/>
        </w:rPr>
        <w:t>亿元，增长</w:t>
      </w:r>
      <w:r w:rsidRPr="008E763B">
        <w:rPr>
          <w:rFonts w:ascii="仿宋" w:eastAsia="仿宋" w:hAnsi="Calibri" w:cs="宋体"/>
          <w:color w:val="000000"/>
          <w:kern w:val="0"/>
          <w:sz w:val="32"/>
          <w:szCs w:val="32"/>
          <w:shd w:val="clear" w:color="auto" w:fill="FFFFFF"/>
        </w:rPr>
        <w:t>31.8%</w:t>
      </w:r>
      <w:r w:rsidRPr="008E763B">
        <w:rPr>
          <w:rFonts w:ascii="仿宋" w:eastAsia="仿宋" w:hAnsi="Calibri" w:cs="宋体" w:hint="eastAsia"/>
          <w:color w:val="000000"/>
          <w:kern w:val="0"/>
          <w:sz w:val="32"/>
          <w:szCs w:val="32"/>
          <w:shd w:val="clear" w:color="auto" w:fill="FFFFFF"/>
        </w:rPr>
        <w:t>。入境游客</w:t>
      </w:r>
      <w:r w:rsidRPr="008E763B">
        <w:rPr>
          <w:rFonts w:ascii="仿宋" w:eastAsia="仿宋" w:hAnsi="Calibri" w:cs="宋体"/>
          <w:color w:val="000000"/>
          <w:kern w:val="0"/>
          <w:sz w:val="32"/>
          <w:szCs w:val="32"/>
          <w:shd w:val="clear" w:color="auto" w:fill="FFFFFF"/>
        </w:rPr>
        <w:t>20.4</w:t>
      </w:r>
      <w:r w:rsidRPr="008E763B">
        <w:rPr>
          <w:rFonts w:ascii="仿宋" w:eastAsia="仿宋" w:hAnsi="Calibri" w:cs="宋体" w:hint="eastAsia"/>
          <w:color w:val="000000"/>
          <w:kern w:val="0"/>
          <w:sz w:val="32"/>
          <w:szCs w:val="32"/>
          <w:shd w:val="clear" w:color="auto" w:fill="FFFFFF"/>
        </w:rPr>
        <w:t>万人次，增长</w:t>
      </w:r>
      <w:r w:rsidRPr="008E763B">
        <w:rPr>
          <w:rFonts w:ascii="仿宋" w:eastAsia="仿宋" w:hAnsi="Calibri" w:cs="宋体"/>
          <w:color w:val="000000"/>
          <w:kern w:val="0"/>
          <w:sz w:val="32"/>
          <w:szCs w:val="32"/>
          <w:shd w:val="clear" w:color="auto" w:fill="FFFFFF"/>
        </w:rPr>
        <w:t>2.1%</w:t>
      </w:r>
      <w:r w:rsidRPr="008E763B">
        <w:rPr>
          <w:rFonts w:ascii="仿宋" w:eastAsia="仿宋" w:hAnsi="Calibri" w:cs="宋体" w:hint="eastAsia"/>
          <w:color w:val="000000"/>
          <w:kern w:val="0"/>
          <w:sz w:val="32"/>
          <w:szCs w:val="32"/>
          <w:shd w:val="clear" w:color="auto" w:fill="FFFFFF"/>
        </w:rPr>
        <w:t>；</w:t>
      </w:r>
      <w:r w:rsidRPr="008E763B">
        <w:rPr>
          <w:rFonts w:ascii="仿宋" w:eastAsia="仿宋" w:hAnsi="Calibri" w:cs="宋体"/>
          <w:color w:val="000000"/>
          <w:kern w:val="0"/>
          <w:sz w:val="32"/>
          <w:szCs w:val="32"/>
          <w:shd w:val="clear" w:color="auto" w:fill="FFFFFF"/>
        </w:rPr>
        <w:t>旅游</w:t>
      </w:r>
      <w:r w:rsidRPr="008E763B">
        <w:rPr>
          <w:rFonts w:ascii="仿宋" w:eastAsia="仿宋" w:hAnsi="Calibri" w:cs="宋体" w:hint="eastAsia"/>
          <w:color w:val="000000"/>
          <w:kern w:val="0"/>
          <w:sz w:val="32"/>
          <w:szCs w:val="32"/>
          <w:shd w:val="clear" w:color="auto" w:fill="FFFFFF"/>
        </w:rPr>
        <w:t>外汇收入6992万</w:t>
      </w:r>
      <w:r w:rsidRPr="008E763B">
        <w:rPr>
          <w:rFonts w:ascii="仿宋" w:eastAsia="仿宋" w:hAnsi="Calibri" w:cs="宋体"/>
          <w:color w:val="000000"/>
          <w:kern w:val="0"/>
          <w:sz w:val="32"/>
          <w:szCs w:val="32"/>
          <w:shd w:val="clear" w:color="auto" w:fill="FFFFFF"/>
        </w:rPr>
        <w:t>美元，增长</w:t>
      </w:r>
      <w:r w:rsidRPr="008E763B">
        <w:rPr>
          <w:rFonts w:ascii="仿宋" w:eastAsia="仿宋" w:hAnsi="Calibri" w:cs="宋体" w:hint="eastAsia"/>
          <w:color w:val="000000"/>
          <w:kern w:val="0"/>
          <w:sz w:val="32"/>
          <w:szCs w:val="32"/>
          <w:shd w:val="clear" w:color="auto" w:fill="FFFFFF"/>
        </w:rPr>
        <w:t>3.5%。</w:t>
      </w:r>
    </w:p>
    <w:p w:rsidR="005945D0" w:rsidRPr="00153465" w:rsidRDefault="005945D0" w:rsidP="00B80A28">
      <w:pPr>
        <w:spacing w:beforeLines="50" w:before="156" w:afterLines="50" w:after="156"/>
      </w:pPr>
    </w:p>
    <w:p w:rsidR="005945D0" w:rsidRDefault="005945D0" w:rsidP="00153465">
      <w:pPr>
        <w:jc w:val="center"/>
      </w:pPr>
      <w:r>
        <w:rPr>
          <w:noProof/>
        </w:rPr>
        <w:drawing>
          <wp:inline distT="0" distB="0" distL="0" distR="0">
            <wp:extent cx="4572000" cy="27432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070C" w:rsidRDefault="004B070C" w:rsidP="004B070C">
      <w:pPr>
        <w:widowControl/>
        <w:shd w:val="clear" w:color="auto" w:fill="FFFFFF"/>
        <w:ind w:firstLineChars="200" w:firstLine="640"/>
        <w:rPr>
          <w:rFonts w:ascii="仿宋" w:eastAsia="仿宋" w:hAnsi="仿宋" w:cs="宋体"/>
          <w:color w:val="000000" w:themeColor="text1"/>
          <w:kern w:val="0"/>
          <w:sz w:val="32"/>
          <w:szCs w:val="32"/>
          <w:shd w:val="clear" w:color="auto" w:fill="FFFFFF"/>
        </w:rPr>
      </w:pPr>
      <w:r>
        <w:rPr>
          <w:rFonts w:ascii="仿宋" w:eastAsia="仿宋" w:hAnsi="仿宋" w:cs="宋体" w:hint="eastAsia"/>
          <w:color w:val="000000" w:themeColor="text1"/>
          <w:kern w:val="0"/>
          <w:sz w:val="32"/>
          <w:szCs w:val="32"/>
          <w:shd w:val="clear" w:color="auto" w:fill="FFFFFF"/>
        </w:rPr>
        <w:t>年末全市共有医疗卫生机构2772个，其中医院59个，在医院中有公立医院28个，民营医院31个；基层医疗卫生机构2663个，其中乡镇卫生院114个，社区卫生服务中心（站）157个，门诊部（所）</w:t>
      </w:r>
      <w:r w:rsidR="007D4BF5">
        <w:rPr>
          <w:rFonts w:ascii="仿宋" w:eastAsia="仿宋" w:hAnsi="仿宋" w:cs="宋体" w:hint="eastAsia"/>
          <w:color w:val="000000" w:themeColor="text1"/>
          <w:kern w:val="0"/>
          <w:sz w:val="32"/>
          <w:szCs w:val="32"/>
          <w:shd w:val="clear" w:color="auto" w:fill="FFFFFF"/>
        </w:rPr>
        <w:t>520</w:t>
      </w:r>
      <w:r>
        <w:rPr>
          <w:rFonts w:ascii="仿宋" w:eastAsia="仿宋" w:hAnsi="仿宋" w:cs="宋体" w:hint="eastAsia"/>
          <w:color w:val="000000" w:themeColor="text1"/>
          <w:kern w:val="0"/>
          <w:sz w:val="32"/>
          <w:szCs w:val="32"/>
          <w:shd w:val="clear" w:color="auto" w:fill="FFFFFF"/>
        </w:rPr>
        <w:t>个，村卫生室1872个；专业公共卫生机构39个，其中疾病预防控制中心</w:t>
      </w:r>
      <w:r w:rsidR="007D4BF5">
        <w:rPr>
          <w:rFonts w:ascii="仿宋" w:eastAsia="仿宋" w:hAnsi="仿宋" w:cs="宋体" w:hint="eastAsia"/>
          <w:color w:val="000000" w:themeColor="text1"/>
          <w:kern w:val="0"/>
          <w:sz w:val="32"/>
          <w:szCs w:val="32"/>
          <w:shd w:val="clear" w:color="auto" w:fill="FFFFFF"/>
        </w:rPr>
        <w:t>10</w:t>
      </w:r>
      <w:r>
        <w:rPr>
          <w:rFonts w:ascii="仿宋" w:eastAsia="仿宋" w:hAnsi="仿宋" w:cs="宋体" w:hint="eastAsia"/>
          <w:color w:val="000000" w:themeColor="text1"/>
          <w:kern w:val="0"/>
          <w:sz w:val="32"/>
          <w:szCs w:val="32"/>
          <w:shd w:val="clear" w:color="auto" w:fill="FFFFFF"/>
        </w:rPr>
        <w:t>个，卫生监督所（中心）9个。年末卫生技术人员28452人，其中执业医师和执业助理医师10267人，注册护士13191人。医疗卫生机构床位30616张，其中医院20411张，乡镇卫生院6885张。全年总诊疗人次 235</w:t>
      </w:r>
      <w:r>
        <w:rPr>
          <w:rFonts w:ascii="仿宋" w:eastAsia="仿宋" w:hAnsi="仿宋" w:cs="宋体"/>
          <w:color w:val="000000" w:themeColor="text1"/>
          <w:kern w:val="0"/>
          <w:sz w:val="32"/>
          <w:szCs w:val="32"/>
          <w:shd w:val="clear" w:color="auto" w:fill="FFFFFF"/>
        </w:rPr>
        <w:t>.55</w:t>
      </w:r>
      <w:r>
        <w:rPr>
          <w:rFonts w:ascii="仿宋" w:eastAsia="仿宋" w:hAnsi="仿宋" w:cs="宋体" w:hint="eastAsia"/>
          <w:color w:val="000000" w:themeColor="text1"/>
          <w:kern w:val="0"/>
          <w:sz w:val="32"/>
          <w:szCs w:val="32"/>
          <w:shd w:val="clear" w:color="auto" w:fill="FFFFFF"/>
        </w:rPr>
        <w:t>万人次，出院人数109</w:t>
      </w:r>
      <w:r>
        <w:rPr>
          <w:rFonts w:ascii="仿宋" w:eastAsia="仿宋" w:hAnsi="仿宋" w:cs="宋体"/>
          <w:color w:val="000000" w:themeColor="text1"/>
          <w:kern w:val="0"/>
          <w:sz w:val="32"/>
          <w:szCs w:val="32"/>
          <w:shd w:val="clear" w:color="auto" w:fill="FFFFFF"/>
        </w:rPr>
        <w:t>.4</w:t>
      </w:r>
      <w:r>
        <w:rPr>
          <w:rFonts w:ascii="仿宋" w:eastAsia="仿宋" w:hAnsi="仿宋" w:cs="宋体" w:hint="eastAsia"/>
          <w:color w:val="000000" w:themeColor="text1"/>
          <w:kern w:val="0"/>
          <w:sz w:val="32"/>
          <w:szCs w:val="32"/>
          <w:shd w:val="clear" w:color="auto" w:fill="FFFFFF"/>
        </w:rPr>
        <w:t>万人。</w:t>
      </w:r>
    </w:p>
    <w:p w:rsidR="00CD0966" w:rsidRPr="00CD0966" w:rsidRDefault="00CD0966" w:rsidP="00774FA8">
      <w:pPr>
        <w:ind w:firstLineChars="200" w:firstLine="640"/>
        <w:rPr>
          <w:rFonts w:ascii="仿宋" w:eastAsia="仿宋" w:hAnsi="Calibri" w:cs="宋体"/>
          <w:color w:val="000000"/>
          <w:kern w:val="0"/>
          <w:sz w:val="32"/>
          <w:szCs w:val="32"/>
          <w:shd w:val="clear" w:color="auto" w:fill="FFFFFF"/>
        </w:rPr>
      </w:pPr>
      <w:r w:rsidRPr="00CD0966">
        <w:rPr>
          <w:rFonts w:ascii="仿宋" w:eastAsia="仿宋" w:hAnsi="Calibri" w:cs="宋体" w:hint="eastAsia"/>
          <w:color w:val="000000"/>
          <w:kern w:val="0"/>
          <w:sz w:val="32"/>
          <w:szCs w:val="32"/>
          <w:shd w:val="clear" w:color="auto" w:fill="FFFFFF"/>
        </w:rPr>
        <w:t>年</w:t>
      </w:r>
      <w:r w:rsidRPr="00CD0966">
        <w:rPr>
          <w:rFonts w:ascii="仿宋" w:eastAsia="仿宋" w:hAnsi="Calibri" w:cs="宋体"/>
          <w:color w:val="000000"/>
          <w:kern w:val="0"/>
          <w:sz w:val="32"/>
          <w:szCs w:val="32"/>
          <w:shd w:val="clear" w:color="auto" w:fill="FFFFFF"/>
        </w:rPr>
        <w:t>末全市共有体育场地8143个，体育场地面积466.58平方米，人均体育场地面积1.32平方米。全市共有体育场馆24个，全年共举办市县级以上群体比赛300余场次，培训社会体育指导620人。全市共有等级以上裁判员2078人，其中一级裁判175人，二级裁判1903人；等级以上运动员</w:t>
      </w:r>
      <w:r w:rsidRPr="00CD0966">
        <w:rPr>
          <w:rFonts w:ascii="仿宋" w:eastAsia="仿宋" w:hAnsi="Calibri" w:cs="宋体"/>
          <w:color w:val="000000"/>
          <w:kern w:val="0"/>
          <w:sz w:val="32"/>
          <w:szCs w:val="32"/>
          <w:shd w:val="clear" w:color="auto" w:fill="FFFFFF"/>
        </w:rPr>
        <w:lastRenderedPageBreak/>
        <w:t>819人，其中一级运动员43人，二级运动员776人。</w:t>
      </w:r>
    </w:p>
    <w:p w:rsidR="00153465" w:rsidRDefault="00153465" w:rsidP="00F0122D">
      <w:pPr>
        <w:ind w:firstLineChars="200" w:firstLine="640"/>
        <w:rPr>
          <w:rFonts w:ascii="黑体" w:eastAsia="黑体" w:hAnsi="黑体"/>
          <w:sz w:val="32"/>
          <w:szCs w:val="32"/>
        </w:rPr>
      </w:pPr>
      <w:r w:rsidRPr="00F811C4">
        <w:rPr>
          <w:rFonts w:ascii="黑体" w:eastAsia="黑体" w:hAnsi="黑体" w:hint="eastAsia"/>
          <w:sz w:val="32"/>
          <w:szCs w:val="32"/>
        </w:rPr>
        <w:t>十二、</w:t>
      </w:r>
      <w:r>
        <w:rPr>
          <w:rFonts w:ascii="黑体" w:eastAsia="黑体" w:hAnsi="黑体" w:hint="eastAsia"/>
          <w:sz w:val="32"/>
          <w:szCs w:val="32"/>
        </w:rPr>
        <w:t>资源</w:t>
      </w:r>
      <w:r w:rsidRPr="00F811C4">
        <w:rPr>
          <w:rFonts w:ascii="黑体" w:eastAsia="黑体" w:hAnsi="黑体" w:hint="eastAsia"/>
          <w:sz w:val="32"/>
          <w:szCs w:val="32"/>
        </w:rPr>
        <w:t>环境</w:t>
      </w:r>
    </w:p>
    <w:p w:rsidR="00645628" w:rsidRDefault="00645628" w:rsidP="00645628">
      <w:pPr>
        <w:ind w:firstLineChars="200" w:firstLine="640"/>
        <w:rPr>
          <w:rFonts w:ascii="仿宋" w:eastAsia="仿宋" w:hAnsi="Calibri" w:cs="宋体"/>
          <w:color w:val="000000"/>
          <w:kern w:val="0"/>
          <w:sz w:val="32"/>
          <w:szCs w:val="32"/>
          <w:shd w:val="clear" w:color="auto" w:fill="FFFFFF"/>
        </w:rPr>
      </w:pPr>
      <w:r w:rsidRPr="00645628">
        <w:rPr>
          <w:rFonts w:ascii="仿宋" w:eastAsia="仿宋" w:hAnsi="Calibri" w:cs="宋体"/>
          <w:color w:val="000000"/>
          <w:kern w:val="0"/>
          <w:sz w:val="32"/>
          <w:szCs w:val="32"/>
          <w:shd w:val="clear" w:color="auto" w:fill="FFFFFF"/>
        </w:rPr>
        <w:t>全年全市完成造林面积</w:t>
      </w:r>
      <w:r w:rsidRPr="00645628">
        <w:rPr>
          <w:rFonts w:ascii="仿宋" w:eastAsia="仿宋" w:hAnsi="Calibri" w:cs="宋体" w:hint="eastAsia"/>
          <w:color w:val="000000"/>
          <w:kern w:val="0"/>
          <w:sz w:val="32"/>
          <w:szCs w:val="32"/>
          <w:shd w:val="clear" w:color="auto" w:fill="FFFFFF"/>
        </w:rPr>
        <w:t>26833.33</w:t>
      </w:r>
      <w:r w:rsidRPr="00645628">
        <w:rPr>
          <w:rFonts w:ascii="仿宋" w:eastAsia="仿宋" w:hAnsi="Calibri" w:cs="宋体"/>
          <w:color w:val="000000"/>
          <w:kern w:val="0"/>
          <w:sz w:val="32"/>
          <w:szCs w:val="32"/>
          <w:shd w:val="clear" w:color="auto" w:fill="FFFFFF"/>
        </w:rPr>
        <w:t>公顷，其中人工造林面积</w:t>
      </w:r>
      <w:r w:rsidRPr="00645628">
        <w:rPr>
          <w:rFonts w:ascii="仿宋" w:eastAsia="仿宋" w:hAnsi="Calibri" w:cs="宋体" w:hint="eastAsia"/>
          <w:color w:val="000000"/>
          <w:kern w:val="0"/>
          <w:sz w:val="32"/>
          <w:szCs w:val="32"/>
          <w:shd w:val="clear" w:color="auto" w:fill="FFFFFF"/>
        </w:rPr>
        <w:t>13833.33</w:t>
      </w:r>
      <w:r w:rsidRPr="00645628">
        <w:rPr>
          <w:rFonts w:ascii="仿宋" w:eastAsia="仿宋" w:hAnsi="Calibri" w:cs="宋体"/>
          <w:color w:val="000000"/>
          <w:kern w:val="0"/>
          <w:sz w:val="32"/>
          <w:szCs w:val="32"/>
          <w:shd w:val="clear" w:color="auto" w:fill="FFFFFF"/>
        </w:rPr>
        <w:t>公顷，占全部造林面积的</w:t>
      </w:r>
      <w:r w:rsidRPr="00645628">
        <w:rPr>
          <w:rFonts w:ascii="仿宋" w:eastAsia="仿宋" w:hAnsi="Calibri" w:cs="宋体" w:hint="eastAsia"/>
          <w:color w:val="000000"/>
          <w:kern w:val="0"/>
          <w:sz w:val="32"/>
          <w:szCs w:val="32"/>
          <w:shd w:val="clear" w:color="auto" w:fill="FFFFFF"/>
        </w:rPr>
        <w:t>51.55</w:t>
      </w:r>
      <w:r w:rsidRPr="00645628">
        <w:rPr>
          <w:rFonts w:ascii="仿宋" w:eastAsia="仿宋" w:hAnsi="Calibri" w:cs="宋体"/>
          <w:color w:val="000000"/>
          <w:kern w:val="0"/>
          <w:sz w:val="32"/>
          <w:szCs w:val="32"/>
          <w:shd w:val="clear" w:color="auto" w:fill="FFFFFF"/>
        </w:rPr>
        <w:t>%。森林抚育面积</w:t>
      </w:r>
      <w:r w:rsidRPr="00645628">
        <w:rPr>
          <w:rFonts w:ascii="仿宋" w:eastAsia="仿宋" w:hAnsi="Calibri" w:cs="宋体" w:hint="eastAsia"/>
          <w:color w:val="000000"/>
          <w:kern w:val="0"/>
          <w:sz w:val="32"/>
          <w:szCs w:val="32"/>
          <w:shd w:val="clear" w:color="auto" w:fill="FFFFFF"/>
        </w:rPr>
        <w:t>28666.67</w:t>
      </w:r>
      <w:r w:rsidRPr="00645628">
        <w:rPr>
          <w:rFonts w:ascii="仿宋" w:eastAsia="仿宋" w:hAnsi="Calibri" w:cs="宋体"/>
          <w:color w:val="000000"/>
          <w:kern w:val="0"/>
          <w:sz w:val="32"/>
          <w:szCs w:val="32"/>
          <w:shd w:val="clear" w:color="auto" w:fill="FFFFFF"/>
        </w:rPr>
        <w:t>公顷，全年森林覆盖率达</w:t>
      </w:r>
      <w:r w:rsidRPr="00645628">
        <w:rPr>
          <w:rFonts w:ascii="仿宋" w:eastAsia="仿宋" w:hAnsi="Calibri" w:cs="宋体" w:hint="eastAsia"/>
          <w:color w:val="000000"/>
          <w:kern w:val="0"/>
          <w:sz w:val="32"/>
          <w:szCs w:val="32"/>
          <w:shd w:val="clear" w:color="auto" w:fill="FFFFFF"/>
        </w:rPr>
        <w:t>66.66</w:t>
      </w:r>
      <w:r w:rsidRPr="00645628">
        <w:rPr>
          <w:rFonts w:ascii="仿宋" w:eastAsia="仿宋" w:hAnsi="Calibri" w:cs="宋体"/>
          <w:color w:val="000000"/>
          <w:kern w:val="0"/>
          <w:sz w:val="32"/>
          <w:szCs w:val="32"/>
          <w:shd w:val="clear" w:color="auto" w:fill="FFFFFF"/>
        </w:rPr>
        <w:t>%。截至年底，国家级自然保护区</w:t>
      </w:r>
      <w:r w:rsidRPr="00645628">
        <w:rPr>
          <w:rFonts w:ascii="仿宋" w:eastAsia="仿宋" w:hAnsi="Calibri" w:cs="宋体" w:hint="eastAsia"/>
          <w:color w:val="000000"/>
          <w:kern w:val="0"/>
          <w:sz w:val="32"/>
          <w:szCs w:val="32"/>
          <w:shd w:val="clear" w:color="auto" w:fill="FFFFFF"/>
        </w:rPr>
        <w:t>4</w:t>
      </w:r>
      <w:r w:rsidRPr="00645628">
        <w:rPr>
          <w:rFonts w:ascii="仿宋" w:eastAsia="仿宋" w:hAnsi="Calibri" w:cs="宋体"/>
          <w:color w:val="000000"/>
          <w:kern w:val="0"/>
          <w:sz w:val="32"/>
          <w:szCs w:val="32"/>
          <w:shd w:val="clear" w:color="auto" w:fill="FFFFFF"/>
        </w:rPr>
        <w:t>个。</w:t>
      </w:r>
    </w:p>
    <w:p w:rsidR="00153465" w:rsidRPr="00584CD0" w:rsidRDefault="00584CD0" w:rsidP="00584CD0">
      <w:pPr>
        <w:widowControl/>
        <w:shd w:val="clear" w:color="auto" w:fill="FFFFFF"/>
        <w:ind w:firstLineChars="200" w:firstLine="640"/>
        <w:jc w:val="left"/>
        <w:rPr>
          <w:rFonts w:ascii="仿宋" w:eastAsia="仿宋" w:hAnsi="Calibri" w:cs="宋体"/>
          <w:color w:val="000000"/>
          <w:kern w:val="0"/>
          <w:sz w:val="32"/>
          <w:szCs w:val="32"/>
          <w:shd w:val="clear" w:color="auto" w:fill="FFFFFF"/>
        </w:rPr>
      </w:pPr>
      <w:r w:rsidRPr="00584CD0">
        <w:rPr>
          <w:rFonts w:ascii="仿宋" w:eastAsia="仿宋" w:hAnsi="Calibri" w:cs="宋体" w:hint="eastAsia"/>
          <w:color w:val="000000"/>
          <w:kern w:val="0"/>
          <w:sz w:val="32"/>
          <w:szCs w:val="32"/>
          <w:shd w:val="clear" w:color="auto" w:fill="FFFFFF"/>
        </w:rPr>
        <w:t>年末</w:t>
      </w:r>
      <w:r w:rsidR="00420DB4">
        <w:rPr>
          <w:rFonts w:ascii="仿宋" w:eastAsia="仿宋" w:hAnsi="Calibri" w:cs="宋体" w:hint="eastAsia"/>
          <w:color w:val="000000"/>
          <w:kern w:val="0"/>
          <w:sz w:val="32"/>
          <w:szCs w:val="32"/>
          <w:shd w:val="clear" w:color="auto" w:fill="FFFFFF"/>
        </w:rPr>
        <w:t>全市</w:t>
      </w:r>
      <w:r w:rsidRPr="00584CD0">
        <w:rPr>
          <w:rFonts w:ascii="仿宋" w:eastAsia="仿宋" w:hAnsi="Calibri" w:cs="宋体"/>
          <w:color w:val="000000"/>
          <w:kern w:val="0"/>
          <w:sz w:val="32"/>
          <w:szCs w:val="32"/>
          <w:shd w:val="clear" w:color="auto" w:fill="FFFFFF"/>
        </w:rPr>
        <w:t>汉江干流及主要支流35个监测断面中，水质符合</w:t>
      </w:r>
      <w:r w:rsidRPr="00584CD0">
        <w:rPr>
          <w:rFonts w:ascii="仿宋" w:eastAsia="仿宋" w:hAnsi="Calibri" w:cs="宋体" w:hint="eastAsia"/>
          <w:color w:val="000000"/>
          <w:kern w:val="0"/>
          <w:sz w:val="32"/>
          <w:szCs w:val="32"/>
          <w:shd w:val="clear" w:color="auto" w:fill="FFFFFF"/>
        </w:rPr>
        <w:t>Ⅰ</w:t>
      </w:r>
      <w:r w:rsidRPr="00584CD0">
        <w:rPr>
          <w:rFonts w:ascii="仿宋" w:eastAsia="仿宋" w:hAnsi="Calibri" w:cs="宋体"/>
          <w:color w:val="000000"/>
          <w:kern w:val="0"/>
          <w:sz w:val="32"/>
          <w:szCs w:val="32"/>
          <w:shd w:val="clear" w:color="auto" w:fill="FFFFFF"/>
        </w:rPr>
        <w:t>～</w:t>
      </w:r>
      <w:r w:rsidRPr="00584CD0">
        <w:rPr>
          <w:rFonts w:ascii="仿宋" w:eastAsia="仿宋" w:hAnsi="Calibri" w:cs="宋体" w:hint="eastAsia"/>
          <w:color w:val="000000"/>
          <w:kern w:val="0"/>
          <w:sz w:val="32"/>
          <w:szCs w:val="32"/>
          <w:shd w:val="clear" w:color="auto" w:fill="FFFFFF"/>
        </w:rPr>
        <w:t>Ⅲ</w:t>
      </w:r>
      <w:r w:rsidRPr="00584CD0">
        <w:rPr>
          <w:rFonts w:ascii="仿宋" w:eastAsia="仿宋" w:hAnsi="Calibri" w:cs="宋体"/>
          <w:color w:val="000000"/>
          <w:kern w:val="0"/>
          <w:sz w:val="32"/>
          <w:szCs w:val="32"/>
          <w:shd w:val="clear" w:color="auto" w:fill="FFFFFF"/>
        </w:rPr>
        <w:t>类标准的断面33个，占总监测断面数的94.3%；全市饮用水水源地水质达标率为100%。</w:t>
      </w:r>
      <w:r w:rsidRPr="00584CD0">
        <w:rPr>
          <w:rFonts w:ascii="仿宋" w:eastAsia="仿宋" w:hAnsi="Calibri" w:cs="宋体"/>
          <w:color w:val="000000"/>
          <w:kern w:val="0"/>
          <w:sz w:val="32"/>
          <w:szCs w:val="32"/>
          <w:shd w:val="clear" w:color="auto" w:fill="FFFFFF"/>
        </w:rPr>
        <w:br/>
      </w:r>
      <w:r w:rsidR="0032019F">
        <w:rPr>
          <w:rFonts w:ascii="仿宋" w:eastAsia="仿宋" w:hAnsi="Calibri" w:cs="宋体" w:hint="eastAsia"/>
          <w:color w:val="000000"/>
          <w:kern w:val="0"/>
          <w:sz w:val="32"/>
          <w:szCs w:val="32"/>
          <w:shd w:val="clear" w:color="auto" w:fill="FFFFFF"/>
        </w:rPr>
        <w:t xml:space="preserve">    </w:t>
      </w:r>
      <w:r w:rsidRPr="00584CD0">
        <w:rPr>
          <w:rFonts w:ascii="仿宋" w:eastAsia="仿宋" w:hAnsi="Calibri" w:cs="宋体"/>
          <w:color w:val="000000"/>
          <w:kern w:val="0"/>
          <w:sz w:val="32"/>
          <w:szCs w:val="32"/>
          <w:shd w:val="clear" w:color="auto" w:fill="FFFFFF"/>
        </w:rPr>
        <w:t>全年城区环境空气质量达到优良的天数为312天，达标率85.5%，其中达到</w:t>
      </w:r>
      <w:r w:rsidRPr="00584CD0">
        <w:rPr>
          <w:rFonts w:ascii="仿宋" w:eastAsia="仿宋" w:hAnsi="Calibri" w:cs="宋体" w:hint="eastAsia"/>
          <w:color w:val="000000"/>
          <w:kern w:val="0"/>
          <w:sz w:val="32"/>
          <w:szCs w:val="32"/>
          <w:shd w:val="clear" w:color="auto" w:fill="FFFFFF"/>
        </w:rPr>
        <w:t>Ⅰ</w:t>
      </w:r>
      <w:r w:rsidRPr="00584CD0">
        <w:rPr>
          <w:rFonts w:ascii="仿宋" w:eastAsia="仿宋" w:hAnsi="Calibri" w:cs="宋体"/>
          <w:color w:val="000000"/>
          <w:kern w:val="0"/>
          <w:sz w:val="32"/>
          <w:szCs w:val="32"/>
          <w:shd w:val="clear" w:color="auto" w:fill="FFFFFF"/>
        </w:rPr>
        <w:t>级（AQI</w:t>
      </w:r>
      <w:r w:rsidRPr="00584CD0">
        <w:rPr>
          <w:rFonts w:ascii="仿宋" w:eastAsia="仿宋" w:hAnsi="Calibri" w:cs="宋体"/>
          <w:color w:val="000000"/>
          <w:kern w:val="0"/>
          <w:sz w:val="32"/>
          <w:szCs w:val="32"/>
          <w:shd w:val="clear" w:color="auto" w:fill="FFFFFF"/>
        </w:rPr>
        <w:t>≤</w:t>
      </w:r>
      <w:r w:rsidRPr="00584CD0">
        <w:rPr>
          <w:rFonts w:ascii="仿宋" w:eastAsia="仿宋" w:hAnsi="Calibri" w:cs="宋体"/>
          <w:color w:val="000000"/>
          <w:kern w:val="0"/>
          <w:sz w:val="32"/>
          <w:szCs w:val="32"/>
          <w:shd w:val="clear" w:color="auto" w:fill="FFFFFF"/>
        </w:rPr>
        <w:t>50）的73天，达到</w:t>
      </w:r>
      <w:r w:rsidRPr="00584CD0">
        <w:rPr>
          <w:rFonts w:ascii="仿宋" w:eastAsia="仿宋" w:hAnsi="Calibri" w:cs="宋体" w:hint="eastAsia"/>
          <w:color w:val="000000"/>
          <w:kern w:val="0"/>
          <w:sz w:val="32"/>
          <w:szCs w:val="32"/>
          <w:shd w:val="clear" w:color="auto" w:fill="FFFFFF"/>
        </w:rPr>
        <w:t>Ⅱ</w:t>
      </w:r>
      <w:r w:rsidRPr="00584CD0">
        <w:rPr>
          <w:rFonts w:ascii="仿宋" w:eastAsia="仿宋" w:hAnsi="Calibri" w:cs="宋体"/>
          <w:color w:val="000000"/>
          <w:kern w:val="0"/>
          <w:sz w:val="32"/>
          <w:szCs w:val="32"/>
          <w:shd w:val="clear" w:color="auto" w:fill="FFFFFF"/>
        </w:rPr>
        <w:t>级（50＜AQI</w:t>
      </w:r>
      <w:r w:rsidRPr="00584CD0">
        <w:rPr>
          <w:rFonts w:ascii="仿宋" w:eastAsia="仿宋" w:hAnsi="Calibri" w:cs="宋体"/>
          <w:color w:val="000000"/>
          <w:kern w:val="0"/>
          <w:sz w:val="32"/>
          <w:szCs w:val="32"/>
          <w:shd w:val="clear" w:color="auto" w:fill="FFFFFF"/>
        </w:rPr>
        <w:t>≤</w:t>
      </w:r>
      <w:r w:rsidRPr="00584CD0">
        <w:rPr>
          <w:rFonts w:ascii="仿宋" w:eastAsia="仿宋" w:hAnsi="Calibri" w:cs="宋体"/>
          <w:color w:val="000000"/>
          <w:kern w:val="0"/>
          <w:sz w:val="32"/>
          <w:szCs w:val="32"/>
          <w:shd w:val="clear" w:color="auto" w:fill="FFFFFF"/>
        </w:rPr>
        <w:t>100）的239天。市区二氧化硫和二氧化氮年度均值到达《环境空气质量标准》二级标准。全市区域环境噪声昼间平均等效A声级54.3分贝；全市交通干线噪声昼间平均等效A声级为66.5分贝。</w:t>
      </w:r>
    </w:p>
    <w:p w:rsidR="00153465" w:rsidRDefault="00153465" w:rsidP="00153465">
      <w:pPr>
        <w:widowControl/>
        <w:shd w:val="clear" w:color="auto" w:fill="FFFFFF"/>
        <w:ind w:firstLineChars="200" w:firstLine="640"/>
        <w:jc w:val="left"/>
        <w:rPr>
          <w:rFonts w:ascii="仿宋" w:eastAsia="仿宋" w:hAnsi="Calibri" w:cs="宋体"/>
          <w:color w:val="000000"/>
          <w:kern w:val="0"/>
          <w:sz w:val="32"/>
          <w:szCs w:val="32"/>
          <w:shd w:val="clear" w:color="auto" w:fill="FFFFFF"/>
        </w:rPr>
      </w:pPr>
    </w:p>
    <w:p w:rsidR="00EB6991" w:rsidRDefault="00EB6991" w:rsidP="00153465">
      <w:pPr>
        <w:widowControl/>
        <w:shd w:val="clear" w:color="auto" w:fill="FFFFFF"/>
        <w:ind w:firstLineChars="200" w:firstLine="640"/>
        <w:jc w:val="left"/>
        <w:rPr>
          <w:rFonts w:ascii="仿宋" w:eastAsia="仿宋" w:hAnsi="Calibri" w:cs="宋体"/>
          <w:color w:val="000000"/>
          <w:kern w:val="0"/>
          <w:sz w:val="32"/>
          <w:szCs w:val="32"/>
          <w:shd w:val="clear" w:color="auto" w:fill="FFFFFF"/>
        </w:rPr>
      </w:pPr>
    </w:p>
    <w:p w:rsidR="00AE3C4E" w:rsidRDefault="00153465" w:rsidP="0086453B">
      <w:pPr>
        <w:rPr>
          <w:rFonts w:ascii="宋体" w:eastAsia="宋体" w:hAnsi="宋体" w:cs="宋体"/>
          <w:kern w:val="0"/>
          <w:sz w:val="24"/>
          <w:szCs w:val="24"/>
        </w:rPr>
      </w:pPr>
      <w:r w:rsidRPr="00007A62">
        <w:rPr>
          <w:rFonts w:ascii="宋体" w:eastAsia="宋体" w:hAnsi="宋体" w:cs="宋体"/>
          <w:kern w:val="0"/>
          <w:sz w:val="24"/>
          <w:szCs w:val="24"/>
        </w:rPr>
        <w:t>注</w:t>
      </w:r>
      <w:r w:rsidR="00AE3C4E">
        <w:rPr>
          <w:rFonts w:ascii="宋体" w:eastAsia="宋体" w:hAnsi="宋体" w:cs="宋体" w:hint="eastAsia"/>
          <w:kern w:val="0"/>
          <w:sz w:val="24"/>
          <w:szCs w:val="24"/>
        </w:rPr>
        <w:t>：</w:t>
      </w:r>
    </w:p>
    <w:p w:rsidR="0086453B" w:rsidRPr="000F4FD6" w:rsidRDefault="0086453B" w:rsidP="002D2C0F">
      <w:pPr>
        <w:spacing w:beforeLines="50" w:before="156" w:afterLines="50" w:after="156"/>
      </w:pPr>
      <w:r w:rsidRPr="007E12DB">
        <w:rPr>
          <w:rFonts w:hint="eastAsia"/>
        </w:rPr>
        <w:t>[1]</w:t>
      </w:r>
      <w:r w:rsidR="00153465" w:rsidRPr="000F4FD6">
        <w:t>本公报</w:t>
      </w:r>
      <w:r w:rsidRPr="000F4FD6">
        <w:rPr>
          <w:rFonts w:hint="eastAsia"/>
        </w:rPr>
        <w:t>中</w:t>
      </w:r>
      <w:r w:rsidR="00153465" w:rsidRPr="000F4FD6">
        <w:t>数据为统计</w:t>
      </w:r>
      <w:r w:rsidRPr="000F4FD6">
        <w:rPr>
          <w:rFonts w:hint="eastAsia"/>
        </w:rPr>
        <w:t>月报</w:t>
      </w:r>
      <w:r w:rsidR="00153465" w:rsidRPr="000F4FD6">
        <w:t>数</w:t>
      </w:r>
      <w:r w:rsidR="000A1815">
        <w:rPr>
          <w:rFonts w:hint="eastAsia"/>
        </w:rPr>
        <w:t>或</w:t>
      </w:r>
      <w:r w:rsidR="000A1815">
        <w:t>初步统计数</w:t>
      </w:r>
      <w:r w:rsidR="000A1815">
        <w:rPr>
          <w:rFonts w:hint="eastAsia"/>
        </w:rPr>
        <w:t>，</w:t>
      </w:r>
      <w:r w:rsidR="000A1815">
        <w:t>部分数据</w:t>
      </w:r>
      <w:r w:rsidR="000A1815">
        <w:rPr>
          <w:rFonts w:hint="eastAsia"/>
        </w:rPr>
        <w:t>因四</w:t>
      </w:r>
      <w:r w:rsidR="000A1815">
        <w:t>舍五入的原因，存在总计与分项合计不等的情况</w:t>
      </w:r>
      <w:r w:rsidR="00153465" w:rsidRPr="000F4FD6">
        <w:t>。</w:t>
      </w:r>
      <w:r w:rsidRPr="007E12DB">
        <w:rPr>
          <w:rFonts w:hint="eastAsia"/>
        </w:rPr>
        <w:t> </w:t>
      </w:r>
    </w:p>
    <w:p w:rsidR="0086453B" w:rsidRDefault="0086453B" w:rsidP="002D2C0F">
      <w:pPr>
        <w:spacing w:beforeLines="50" w:before="156" w:afterLines="50" w:after="156"/>
      </w:pPr>
      <w:r w:rsidRPr="007E12DB">
        <w:rPr>
          <w:rFonts w:hint="eastAsia"/>
        </w:rPr>
        <w:t>[2]</w:t>
      </w:r>
      <w:r w:rsidR="00D91B45">
        <w:rPr>
          <w:rFonts w:hint="eastAsia"/>
        </w:rPr>
        <w:t>地区</w:t>
      </w:r>
      <w:r w:rsidRPr="007E12DB">
        <w:rPr>
          <w:rFonts w:hint="eastAsia"/>
        </w:rPr>
        <w:t>生产总值、三次产业及相关行业增加值、人均国内生产总值绝对数按现价计算，增长速度按不变价格计算。根据第四次全国经济普查结果，对</w:t>
      </w:r>
      <w:r w:rsidR="00D91B45">
        <w:rPr>
          <w:rFonts w:hint="eastAsia"/>
        </w:rPr>
        <w:t>地区</w:t>
      </w:r>
      <w:r w:rsidRPr="007E12DB">
        <w:rPr>
          <w:rFonts w:hint="eastAsia"/>
        </w:rPr>
        <w:t>生产总值、三次产业及相关行业增加值等相关指标进行了修订。</w:t>
      </w:r>
    </w:p>
    <w:p w:rsidR="0065185B" w:rsidRDefault="0065185B" w:rsidP="002D2C0F">
      <w:pPr>
        <w:spacing w:beforeLines="50" w:before="156" w:afterLines="50" w:after="156"/>
      </w:pPr>
      <w:r w:rsidRPr="007E12DB">
        <w:rPr>
          <w:rFonts w:hint="eastAsia"/>
        </w:rPr>
        <w:t>[</w:t>
      </w:r>
      <w:r w:rsidR="00300E6B">
        <w:t>3</w:t>
      </w:r>
      <w:r w:rsidRPr="007E12DB">
        <w:rPr>
          <w:rFonts w:hint="eastAsia"/>
        </w:rPr>
        <w:t>]</w:t>
      </w:r>
      <w:r>
        <w:rPr>
          <w:rFonts w:hint="eastAsia"/>
        </w:rPr>
        <w:t>规模以上</w:t>
      </w:r>
      <w:r>
        <w:t>工业</w:t>
      </w:r>
      <w:r>
        <w:rPr>
          <w:rFonts w:hint="eastAsia"/>
        </w:rPr>
        <w:t>统计</w:t>
      </w:r>
      <w:r>
        <w:t>范围</w:t>
      </w:r>
      <w:r>
        <w:rPr>
          <w:rFonts w:hint="eastAsia"/>
        </w:rPr>
        <w:t>包括</w:t>
      </w:r>
      <w:r w:rsidR="00300E6B">
        <w:rPr>
          <w:rFonts w:hint="eastAsia"/>
        </w:rPr>
        <w:t>辖区</w:t>
      </w:r>
      <w:r>
        <w:t>年主营业务收入</w:t>
      </w:r>
      <w:r>
        <w:rPr>
          <w:rFonts w:hint="eastAsia"/>
        </w:rPr>
        <w:t>2000</w:t>
      </w:r>
      <w:r>
        <w:rPr>
          <w:rFonts w:hint="eastAsia"/>
        </w:rPr>
        <w:t>万</w:t>
      </w:r>
      <w:r w:rsidR="00055FC3">
        <w:t>元以上的</w:t>
      </w:r>
      <w:r>
        <w:t>工业企业。</w:t>
      </w:r>
    </w:p>
    <w:p w:rsidR="0065185B" w:rsidRDefault="00300E6B" w:rsidP="002D2C0F">
      <w:pPr>
        <w:spacing w:beforeLines="50" w:before="156" w:afterLines="50" w:after="156"/>
      </w:pPr>
      <w:r>
        <w:rPr>
          <w:rFonts w:hint="eastAsia"/>
        </w:rPr>
        <w:t>[4</w:t>
      </w:r>
      <w:r w:rsidRPr="007E12DB">
        <w:rPr>
          <w:rFonts w:hint="eastAsia"/>
        </w:rPr>
        <w:t>]</w:t>
      </w:r>
      <w:r>
        <w:rPr>
          <w:rFonts w:hint="eastAsia"/>
        </w:rPr>
        <w:t>资质</w:t>
      </w:r>
      <w:r>
        <w:t>等级建筑业统计</w:t>
      </w:r>
      <w:r>
        <w:rPr>
          <w:rFonts w:hint="eastAsia"/>
        </w:rPr>
        <w:t>范围</w:t>
      </w:r>
      <w:r>
        <w:t>包括</w:t>
      </w:r>
      <w:r>
        <w:rPr>
          <w:rFonts w:hint="eastAsia"/>
        </w:rPr>
        <w:t>辖区具有总</w:t>
      </w:r>
      <w:r>
        <w:t>承包或专业承包建筑业资质的所有独立核算建</w:t>
      </w:r>
      <w:r>
        <w:lastRenderedPageBreak/>
        <w:t>筑业企业及所</w:t>
      </w:r>
      <w:r>
        <w:rPr>
          <w:rFonts w:hint="eastAsia"/>
        </w:rPr>
        <w:t>属</w:t>
      </w:r>
      <w:r>
        <w:t>产业活动单位。</w:t>
      </w:r>
    </w:p>
    <w:p w:rsidR="00300E6B" w:rsidRPr="00300E6B" w:rsidRDefault="00300E6B" w:rsidP="002D2C0F">
      <w:pPr>
        <w:spacing w:beforeLines="50" w:before="156" w:afterLines="50" w:after="156"/>
      </w:pPr>
      <w:r>
        <w:rPr>
          <w:rFonts w:hint="eastAsia"/>
        </w:rPr>
        <w:t>[5</w:t>
      </w:r>
      <w:r w:rsidRPr="007E12DB">
        <w:rPr>
          <w:rFonts w:hint="eastAsia"/>
        </w:rPr>
        <w:t>]</w:t>
      </w:r>
      <w:r>
        <w:rPr>
          <w:rFonts w:hint="eastAsia"/>
        </w:rPr>
        <w:t>限</w:t>
      </w:r>
      <w:r>
        <w:t>额以上批</w:t>
      </w:r>
      <w:r>
        <w:rPr>
          <w:rFonts w:hint="eastAsia"/>
        </w:rPr>
        <w:t>零</w:t>
      </w:r>
      <w:r>
        <w:t>住</w:t>
      </w:r>
      <w:r>
        <w:rPr>
          <w:rFonts w:hint="eastAsia"/>
        </w:rPr>
        <w:t>餐业</w:t>
      </w:r>
      <w:r>
        <w:t>统计</w:t>
      </w:r>
      <w:r>
        <w:rPr>
          <w:rFonts w:hint="eastAsia"/>
        </w:rPr>
        <w:t>范围</w:t>
      </w:r>
      <w:r>
        <w:t>包括</w:t>
      </w:r>
      <w:r w:rsidR="00CE6F94" w:rsidRPr="00CE6F94">
        <w:rPr>
          <w:rFonts w:hint="eastAsia"/>
        </w:rPr>
        <w:t>：批发业为年</w:t>
      </w:r>
      <w:hyperlink r:id="rId21" w:tgtFrame="_blank" w:history="1">
        <w:r w:rsidR="00CE6F94" w:rsidRPr="00CE6F94">
          <w:rPr>
            <w:rFonts w:hint="eastAsia"/>
          </w:rPr>
          <w:t>商品</w:t>
        </w:r>
      </w:hyperlink>
      <w:r w:rsidR="00CE6F94" w:rsidRPr="00CE6F94">
        <w:rPr>
          <w:rFonts w:hint="eastAsia"/>
        </w:rPr>
        <w:t>销售总额在</w:t>
      </w:r>
      <w:r w:rsidR="00CE6F94" w:rsidRPr="00CE6F94">
        <w:rPr>
          <w:rFonts w:hint="eastAsia"/>
        </w:rPr>
        <w:t>2000</w:t>
      </w:r>
      <w:r w:rsidR="00CE6F94" w:rsidRPr="00CE6F94">
        <w:rPr>
          <w:rFonts w:hint="eastAsia"/>
        </w:rPr>
        <w:t>万元以上</w:t>
      </w:r>
      <w:r w:rsidR="00F83C3B">
        <w:rPr>
          <w:rFonts w:hint="eastAsia"/>
        </w:rPr>
        <w:t>，</w:t>
      </w:r>
      <w:r w:rsidR="00CE6F94" w:rsidRPr="00CE6F94">
        <w:rPr>
          <w:rFonts w:hint="eastAsia"/>
        </w:rPr>
        <w:t>零售业为年商品销售总额在</w:t>
      </w:r>
      <w:r w:rsidR="00CE6F94" w:rsidRPr="00CE6F94">
        <w:rPr>
          <w:rFonts w:hint="eastAsia"/>
        </w:rPr>
        <w:t>500</w:t>
      </w:r>
      <w:r w:rsidR="00CE6F94" w:rsidRPr="00CE6F94">
        <w:rPr>
          <w:rFonts w:hint="eastAsia"/>
        </w:rPr>
        <w:t>万元以上</w:t>
      </w:r>
      <w:r w:rsidR="00F83C3B">
        <w:rPr>
          <w:rFonts w:hint="eastAsia"/>
        </w:rPr>
        <w:t>，</w:t>
      </w:r>
      <w:r w:rsidR="00CE6F94" w:rsidRPr="00CE6F94">
        <w:rPr>
          <w:rFonts w:hint="eastAsia"/>
        </w:rPr>
        <w:t>限额以上</w:t>
      </w:r>
      <w:hyperlink r:id="rId22" w:tgtFrame="_blank" w:history="1">
        <w:r w:rsidR="00CE6F94" w:rsidRPr="00CE6F94">
          <w:rPr>
            <w:rFonts w:hint="eastAsia"/>
          </w:rPr>
          <w:t>批发零售业</w:t>
        </w:r>
      </w:hyperlink>
      <w:r w:rsidR="00CE6F94" w:rsidRPr="00CE6F94">
        <w:rPr>
          <w:rFonts w:hint="eastAsia"/>
        </w:rPr>
        <w:t>商品</w:t>
      </w:r>
      <w:hyperlink r:id="rId23" w:tgtFrame="_blank" w:history="1">
        <w:r w:rsidR="00CE6F94" w:rsidRPr="00CE6F94">
          <w:rPr>
            <w:rFonts w:hint="eastAsia"/>
          </w:rPr>
          <w:t>零售额</w:t>
        </w:r>
      </w:hyperlink>
      <w:r w:rsidR="00CE6F94" w:rsidRPr="00CE6F94">
        <w:rPr>
          <w:rFonts w:hint="eastAsia"/>
        </w:rPr>
        <w:t>是指零售的</w:t>
      </w:r>
      <w:hyperlink r:id="rId24" w:tgtFrame="_blank" w:history="1">
        <w:r w:rsidR="00CE6F94" w:rsidRPr="00CE6F94">
          <w:rPr>
            <w:rFonts w:hint="eastAsia"/>
          </w:rPr>
          <w:t>销售收入</w:t>
        </w:r>
      </w:hyperlink>
      <w:r w:rsidR="00CE6F94" w:rsidRPr="00CE6F94">
        <w:rPr>
          <w:rFonts w:hint="eastAsia"/>
        </w:rPr>
        <w:t>。住宿业</w:t>
      </w:r>
      <w:r w:rsidR="00F83C3B">
        <w:rPr>
          <w:rFonts w:hint="eastAsia"/>
        </w:rPr>
        <w:t>和</w:t>
      </w:r>
      <w:r w:rsidR="00CE6F94" w:rsidRPr="00CE6F94">
        <w:rPr>
          <w:rFonts w:hint="eastAsia"/>
        </w:rPr>
        <w:t>餐饮业年营业总收入</w:t>
      </w:r>
      <w:r w:rsidR="00F83C3B">
        <w:rPr>
          <w:rFonts w:hint="eastAsia"/>
        </w:rPr>
        <w:t>均</w:t>
      </w:r>
      <w:r w:rsidR="00F83C3B" w:rsidRPr="00CE6F94">
        <w:rPr>
          <w:rFonts w:hint="eastAsia"/>
        </w:rPr>
        <w:t>为</w:t>
      </w:r>
      <w:r w:rsidR="00CE6F94" w:rsidRPr="00CE6F94">
        <w:rPr>
          <w:rFonts w:hint="eastAsia"/>
        </w:rPr>
        <w:t>200</w:t>
      </w:r>
      <w:r w:rsidR="00CE6F94" w:rsidRPr="00CE6F94">
        <w:rPr>
          <w:rFonts w:hint="eastAsia"/>
        </w:rPr>
        <w:t>万元以上。</w:t>
      </w:r>
    </w:p>
    <w:p w:rsidR="0004200B" w:rsidRPr="007E12DB" w:rsidRDefault="00300E6B" w:rsidP="002D2C0F">
      <w:pPr>
        <w:spacing w:beforeLines="50" w:before="156" w:afterLines="50" w:after="156"/>
      </w:pPr>
      <w:r>
        <w:rPr>
          <w:rFonts w:hint="eastAsia"/>
        </w:rPr>
        <w:t>[6</w:t>
      </w:r>
      <w:r w:rsidR="0004200B" w:rsidRPr="007E12DB">
        <w:rPr>
          <w:rFonts w:hint="eastAsia"/>
        </w:rPr>
        <w:t>]</w:t>
      </w:r>
      <w:r w:rsidR="0004200B" w:rsidRPr="007E12DB">
        <w:rPr>
          <w:rFonts w:hint="eastAsia"/>
        </w:rPr>
        <w:t>规模以上服务业统计范围包括年营业收入</w:t>
      </w:r>
      <w:r w:rsidR="0004200B" w:rsidRPr="007E12DB">
        <w:rPr>
          <w:rFonts w:hint="eastAsia"/>
        </w:rPr>
        <w:t>1000</w:t>
      </w:r>
      <w:r w:rsidR="0004200B" w:rsidRPr="007E12DB">
        <w:rPr>
          <w:rFonts w:hint="eastAsia"/>
        </w:rPr>
        <w:t>万元及以上，或年末从业人员</w:t>
      </w:r>
      <w:r w:rsidR="0004200B" w:rsidRPr="007E12DB">
        <w:rPr>
          <w:rFonts w:hint="eastAsia"/>
        </w:rPr>
        <w:t>50</w:t>
      </w:r>
      <w:r w:rsidR="0004200B" w:rsidRPr="007E12DB">
        <w:rPr>
          <w:rFonts w:hint="eastAsia"/>
        </w:rPr>
        <w:t>人及以上的交通运输、仓储和邮政业，信息传输、软件和信息技术服务业，房地产业（不含房地产开发经营），租赁和商务服务业，科学研究和技术服务业，水利、环境和公共设施管理业，教育，卫生和社会工作；年营业收入</w:t>
      </w:r>
      <w:r w:rsidR="0004200B" w:rsidRPr="007E12DB">
        <w:rPr>
          <w:rFonts w:hint="eastAsia"/>
        </w:rPr>
        <w:t>500</w:t>
      </w:r>
      <w:r w:rsidR="0004200B" w:rsidRPr="007E12DB">
        <w:rPr>
          <w:rFonts w:hint="eastAsia"/>
        </w:rPr>
        <w:t>万元及以上，或年末从业人员</w:t>
      </w:r>
      <w:r w:rsidR="0004200B" w:rsidRPr="007E12DB">
        <w:rPr>
          <w:rFonts w:hint="eastAsia"/>
        </w:rPr>
        <w:t>50</w:t>
      </w:r>
      <w:r w:rsidR="0004200B" w:rsidRPr="007E12DB">
        <w:rPr>
          <w:rFonts w:hint="eastAsia"/>
        </w:rPr>
        <w:t>人及以上的居民服务、修理和其他服务业，文化、体育和娱乐业法人单位。</w:t>
      </w:r>
    </w:p>
    <w:p w:rsidR="0004200B" w:rsidRPr="007E12DB" w:rsidRDefault="00300E6B" w:rsidP="002D2C0F">
      <w:pPr>
        <w:spacing w:beforeLines="50" w:before="156" w:afterLines="50" w:after="156"/>
      </w:pPr>
      <w:r>
        <w:rPr>
          <w:rFonts w:hint="eastAsia"/>
        </w:rPr>
        <w:t>[</w:t>
      </w:r>
      <w:r w:rsidR="0004200B" w:rsidRPr="007E12DB">
        <w:rPr>
          <w:rFonts w:hint="eastAsia"/>
        </w:rPr>
        <w:t>7]</w:t>
      </w:r>
      <w:r w:rsidR="0004200B" w:rsidRPr="007E12DB">
        <w:rPr>
          <w:rFonts w:hint="eastAsia"/>
        </w:rPr>
        <w:t>民间固定资产投资是指具有集体、私营、个人性质的内资企事业单位以及由其控股（包括绝对控股和相对控股）的企业单位建造或购置固定资产的投资。</w:t>
      </w:r>
    </w:p>
    <w:p w:rsidR="0004200B" w:rsidRPr="007E12DB" w:rsidRDefault="0004200B" w:rsidP="002D2C0F">
      <w:pPr>
        <w:spacing w:beforeLines="50" w:before="156" w:afterLines="50" w:after="156"/>
      </w:pPr>
      <w:r w:rsidRPr="007E12DB">
        <w:rPr>
          <w:rFonts w:hint="eastAsia"/>
        </w:rPr>
        <w:t> [8]</w:t>
      </w:r>
      <w:r w:rsidRPr="007E12DB">
        <w:rPr>
          <w:rFonts w:hint="eastAsia"/>
        </w:rPr>
        <w:t>基础设施投资包括交通运输、邮政业，电信、广播电视和卫星传输服务业，互联网和相关服务业，水利、环境和公共设施管理业投资。</w:t>
      </w:r>
    </w:p>
    <w:p w:rsidR="0004200B" w:rsidRPr="007E12DB" w:rsidRDefault="00300E6B" w:rsidP="002D2C0F">
      <w:pPr>
        <w:spacing w:beforeLines="50" w:before="156" w:afterLines="50" w:after="156"/>
      </w:pPr>
      <w:r>
        <w:rPr>
          <w:rFonts w:hint="eastAsia"/>
        </w:rPr>
        <w:t>[</w:t>
      </w:r>
      <w:r w:rsidR="0004200B" w:rsidRPr="007E12DB">
        <w:rPr>
          <w:rFonts w:hint="eastAsia"/>
        </w:rPr>
        <w:t>9]</w:t>
      </w:r>
      <w:r w:rsidR="0004200B" w:rsidRPr="007E12DB">
        <w:rPr>
          <w:rFonts w:hint="eastAsia"/>
        </w:rPr>
        <w:t>房地产业投资除房地产开发投资外，还包括建设单位自建房屋以及物业管理、中介服务和其他房地产投资。</w:t>
      </w:r>
    </w:p>
    <w:p w:rsidR="00BC37B7" w:rsidRPr="0004200B" w:rsidRDefault="00BC37B7" w:rsidP="002D2C0F">
      <w:pPr>
        <w:spacing w:beforeLines="50" w:before="156" w:afterLines="50" w:after="156"/>
        <w:ind w:firstLineChars="100" w:firstLine="210"/>
      </w:pPr>
    </w:p>
    <w:p w:rsidR="006C7F81" w:rsidRPr="007E12DB" w:rsidRDefault="006C7F81" w:rsidP="006C7F81">
      <w:pPr>
        <w:ind w:firstLine="420"/>
      </w:pPr>
    </w:p>
    <w:p w:rsidR="005945D0" w:rsidRPr="0086453B" w:rsidRDefault="005945D0"/>
    <w:sectPr w:rsidR="005945D0" w:rsidRPr="0086453B" w:rsidSect="001E669B">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019" w:rsidRDefault="00A70019" w:rsidP="00A27F1B">
      <w:r>
        <w:separator/>
      </w:r>
    </w:p>
  </w:endnote>
  <w:endnote w:type="continuationSeparator" w:id="0">
    <w:p w:rsidR="00A70019" w:rsidRDefault="00A70019" w:rsidP="00A2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525787"/>
      <w:docPartObj>
        <w:docPartGallery w:val="Page Numbers (Bottom of Page)"/>
        <w:docPartUnique/>
      </w:docPartObj>
    </w:sdtPr>
    <w:sdtEndPr/>
    <w:sdtContent>
      <w:p w:rsidR="00C1696B" w:rsidRDefault="001E669B">
        <w:pPr>
          <w:pStyle w:val="a4"/>
          <w:jc w:val="center"/>
        </w:pPr>
        <w:r>
          <w:fldChar w:fldCharType="begin"/>
        </w:r>
        <w:r w:rsidR="00C1696B">
          <w:instrText>PAGE   \* MERGEFORMAT</w:instrText>
        </w:r>
        <w:r>
          <w:fldChar w:fldCharType="separate"/>
        </w:r>
        <w:r w:rsidR="00126B34" w:rsidRPr="00126B34">
          <w:rPr>
            <w:noProof/>
            <w:lang w:val="zh-CN"/>
          </w:rPr>
          <w:t>1</w:t>
        </w:r>
        <w:r>
          <w:fldChar w:fldCharType="end"/>
        </w:r>
      </w:p>
    </w:sdtContent>
  </w:sdt>
  <w:p w:rsidR="00C1696B" w:rsidRDefault="00C169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019" w:rsidRDefault="00A70019" w:rsidP="00A27F1B">
      <w:r>
        <w:separator/>
      </w:r>
    </w:p>
  </w:footnote>
  <w:footnote w:type="continuationSeparator" w:id="0">
    <w:p w:rsidR="00A70019" w:rsidRDefault="00A70019" w:rsidP="00A27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E59"/>
    <w:rsid w:val="00011B4F"/>
    <w:rsid w:val="000174AC"/>
    <w:rsid w:val="000245AA"/>
    <w:rsid w:val="0004200B"/>
    <w:rsid w:val="00055FC3"/>
    <w:rsid w:val="00056F65"/>
    <w:rsid w:val="00060852"/>
    <w:rsid w:val="000741C9"/>
    <w:rsid w:val="00083C8A"/>
    <w:rsid w:val="000902D8"/>
    <w:rsid w:val="000A1815"/>
    <w:rsid w:val="000A4D2D"/>
    <w:rsid w:val="000B0102"/>
    <w:rsid w:val="000C0A71"/>
    <w:rsid w:val="000E1E7A"/>
    <w:rsid w:val="000F4FD6"/>
    <w:rsid w:val="001050E4"/>
    <w:rsid w:val="00122F22"/>
    <w:rsid w:val="00123EAC"/>
    <w:rsid w:val="00126B34"/>
    <w:rsid w:val="00134347"/>
    <w:rsid w:val="00136709"/>
    <w:rsid w:val="00137B1A"/>
    <w:rsid w:val="00153465"/>
    <w:rsid w:val="001954B4"/>
    <w:rsid w:val="001A3F83"/>
    <w:rsid w:val="001A67C0"/>
    <w:rsid w:val="001C4636"/>
    <w:rsid w:val="001D39A6"/>
    <w:rsid w:val="001E105B"/>
    <w:rsid w:val="001E669B"/>
    <w:rsid w:val="001F1FA8"/>
    <w:rsid w:val="00217FEF"/>
    <w:rsid w:val="00232479"/>
    <w:rsid w:val="002559FF"/>
    <w:rsid w:val="00284479"/>
    <w:rsid w:val="00285781"/>
    <w:rsid w:val="00286E77"/>
    <w:rsid w:val="0029653D"/>
    <w:rsid w:val="002A3181"/>
    <w:rsid w:val="002C34E7"/>
    <w:rsid w:val="002D2C0F"/>
    <w:rsid w:val="002E3471"/>
    <w:rsid w:val="002F78CF"/>
    <w:rsid w:val="00300E6B"/>
    <w:rsid w:val="00302A5B"/>
    <w:rsid w:val="0031728E"/>
    <w:rsid w:val="0032019F"/>
    <w:rsid w:val="0032569B"/>
    <w:rsid w:val="003329E7"/>
    <w:rsid w:val="00337E9A"/>
    <w:rsid w:val="00344BD4"/>
    <w:rsid w:val="003455BA"/>
    <w:rsid w:val="00352AAF"/>
    <w:rsid w:val="003723BE"/>
    <w:rsid w:val="00380639"/>
    <w:rsid w:val="00394A3C"/>
    <w:rsid w:val="003A7E80"/>
    <w:rsid w:val="003B45DC"/>
    <w:rsid w:val="003C5255"/>
    <w:rsid w:val="003C5CE3"/>
    <w:rsid w:val="003E4C75"/>
    <w:rsid w:val="00400A01"/>
    <w:rsid w:val="004138C5"/>
    <w:rsid w:val="00420DB4"/>
    <w:rsid w:val="00442F78"/>
    <w:rsid w:val="00447E25"/>
    <w:rsid w:val="00470336"/>
    <w:rsid w:val="00483AE3"/>
    <w:rsid w:val="004842AF"/>
    <w:rsid w:val="004917C7"/>
    <w:rsid w:val="004B070C"/>
    <w:rsid w:val="004B3E9C"/>
    <w:rsid w:val="00513EAB"/>
    <w:rsid w:val="005206DB"/>
    <w:rsid w:val="005210E8"/>
    <w:rsid w:val="00537FDB"/>
    <w:rsid w:val="00555677"/>
    <w:rsid w:val="00570B96"/>
    <w:rsid w:val="00582470"/>
    <w:rsid w:val="00584CD0"/>
    <w:rsid w:val="00592C7D"/>
    <w:rsid w:val="005945D0"/>
    <w:rsid w:val="005B7998"/>
    <w:rsid w:val="005D03E0"/>
    <w:rsid w:val="005E446E"/>
    <w:rsid w:val="005E52CF"/>
    <w:rsid w:val="005F5390"/>
    <w:rsid w:val="00630B57"/>
    <w:rsid w:val="00645628"/>
    <w:rsid w:val="0065185B"/>
    <w:rsid w:val="0066787E"/>
    <w:rsid w:val="006828B7"/>
    <w:rsid w:val="006A0BF0"/>
    <w:rsid w:val="006A3907"/>
    <w:rsid w:val="006B6D09"/>
    <w:rsid w:val="006B7684"/>
    <w:rsid w:val="006C48DB"/>
    <w:rsid w:val="006C7C76"/>
    <w:rsid w:val="006C7F81"/>
    <w:rsid w:val="006E3BFB"/>
    <w:rsid w:val="006E4408"/>
    <w:rsid w:val="007018C0"/>
    <w:rsid w:val="00731367"/>
    <w:rsid w:val="007526D3"/>
    <w:rsid w:val="00754359"/>
    <w:rsid w:val="00757FCE"/>
    <w:rsid w:val="00763968"/>
    <w:rsid w:val="00770A58"/>
    <w:rsid w:val="00774FA8"/>
    <w:rsid w:val="007A2FE0"/>
    <w:rsid w:val="007B4AE4"/>
    <w:rsid w:val="007B7DB9"/>
    <w:rsid w:val="007C5D4A"/>
    <w:rsid w:val="007D0FCA"/>
    <w:rsid w:val="007D4BF5"/>
    <w:rsid w:val="007D7B4D"/>
    <w:rsid w:val="007E2C05"/>
    <w:rsid w:val="007E2F20"/>
    <w:rsid w:val="0085530C"/>
    <w:rsid w:val="0086453B"/>
    <w:rsid w:val="00865AD0"/>
    <w:rsid w:val="00893851"/>
    <w:rsid w:val="008C1B9D"/>
    <w:rsid w:val="008C46FD"/>
    <w:rsid w:val="009072F0"/>
    <w:rsid w:val="0091483D"/>
    <w:rsid w:val="00914A56"/>
    <w:rsid w:val="00926307"/>
    <w:rsid w:val="00945B51"/>
    <w:rsid w:val="00952584"/>
    <w:rsid w:val="00954B4D"/>
    <w:rsid w:val="009A7B2F"/>
    <w:rsid w:val="009C24DD"/>
    <w:rsid w:val="009C71B5"/>
    <w:rsid w:val="009D1493"/>
    <w:rsid w:val="00A12695"/>
    <w:rsid w:val="00A16E59"/>
    <w:rsid w:val="00A26A80"/>
    <w:rsid w:val="00A27F1B"/>
    <w:rsid w:val="00A66FC0"/>
    <w:rsid w:val="00A70019"/>
    <w:rsid w:val="00A817BB"/>
    <w:rsid w:val="00A912CD"/>
    <w:rsid w:val="00AA226E"/>
    <w:rsid w:val="00AA4DA9"/>
    <w:rsid w:val="00AB32D4"/>
    <w:rsid w:val="00AC7080"/>
    <w:rsid w:val="00AD7AC2"/>
    <w:rsid w:val="00AE3C4E"/>
    <w:rsid w:val="00AE4420"/>
    <w:rsid w:val="00B02255"/>
    <w:rsid w:val="00B20A92"/>
    <w:rsid w:val="00B2609A"/>
    <w:rsid w:val="00B55A1E"/>
    <w:rsid w:val="00B72CBF"/>
    <w:rsid w:val="00B80A28"/>
    <w:rsid w:val="00B81BCE"/>
    <w:rsid w:val="00BB4392"/>
    <w:rsid w:val="00BC37B7"/>
    <w:rsid w:val="00BD37D6"/>
    <w:rsid w:val="00BD6C45"/>
    <w:rsid w:val="00BF7C36"/>
    <w:rsid w:val="00C1696B"/>
    <w:rsid w:val="00C375E7"/>
    <w:rsid w:val="00C44454"/>
    <w:rsid w:val="00C5505E"/>
    <w:rsid w:val="00C5666A"/>
    <w:rsid w:val="00C67D87"/>
    <w:rsid w:val="00CB2484"/>
    <w:rsid w:val="00CB3306"/>
    <w:rsid w:val="00CB64C3"/>
    <w:rsid w:val="00CB6AED"/>
    <w:rsid w:val="00CC21DA"/>
    <w:rsid w:val="00CC2769"/>
    <w:rsid w:val="00CC7177"/>
    <w:rsid w:val="00CD0966"/>
    <w:rsid w:val="00CE6F94"/>
    <w:rsid w:val="00CF7A43"/>
    <w:rsid w:val="00D0755E"/>
    <w:rsid w:val="00D14ECB"/>
    <w:rsid w:val="00D24AD8"/>
    <w:rsid w:val="00D6240D"/>
    <w:rsid w:val="00D730C3"/>
    <w:rsid w:val="00D91B45"/>
    <w:rsid w:val="00DD1322"/>
    <w:rsid w:val="00DD7830"/>
    <w:rsid w:val="00DF1057"/>
    <w:rsid w:val="00E0497D"/>
    <w:rsid w:val="00E33AA0"/>
    <w:rsid w:val="00E40ECA"/>
    <w:rsid w:val="00E42A8F"/>
    <w:rsid w:val="00E55C1A"/>
    <w:rsid w:val="00E90497"/>
    <w:rsid w:val="00EA4D22"/>
    <w:rsid w:val="00EB0982"/>
    <w:rsid w:val="00EB515D"/>
    <w:rsid w:val="00EB6776"/>
    <w:rsid w:val="00EB6991"/>
    <w:rsid w:val="00EC07FA"/>
    <w:rsid w:val="00EC5803"/>
    <w:rsid w:val="00ED0355"/>
    <w:rsid w:val="00ED7843"/>
    <w:rsid w:val="00EE2B2B"/>
    <w:rsid w:val="00EF1214"/>
    <w:rsid w:val="00F0122D"/>
    <w:rsid w:val="00F14AE6"/>
    <w:rsid w:val="00F15659"/>
    <w:rsid w:val="00F3087D"/>
    <w:rsid w:val="00F41E45"/>
    <w:rsid w:val="00F500E6"/>
    <w:rsid w:val="00F75281"/>
    <w:rsid w:val="00F83C3B"/>
    <w:rsid w:val="00F86BC2"/>
    <w:rsid w:val="00F95443"/>
    <w:rsid w:val="00FA327F"/>
    <w:rsid w:val="00FC1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9A361F-DF70-4736-B3DF-882EA40E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7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7F1B"/>
    <w:rPr>
      <w:sz w:val="18"/>
      <w:szCs w:val="18"/>
    </w:rPr>
  </w:style>
  <w:style w:type="paragraph" w:styleId="a4">
    <w:name w:val="footer"/>
    <w:basedOn w:val="a"/>
    <w:link w:val="Char0"/>
    <w:uiPriority w:val="99"/>
    <w:unhideWhenUsed/>
    <w:rsid w:val="00A27F1B"/>
    <w:pPr>
      <w:tabs>
        <w:tab w:val="center" w:pos="4153"/>
        <w:tab w:val="right" w:pos="8306"/>
      </w:tabs>
      <w:snapToGrid w:val="0"/>
      <w:jc w:val="left"/>
    </w:pPr>
    <w:rPr>
      <w:sz w:val="18"/>
      <w:szCs w:val="18"/>
    </w:rPr>
  </w:style>
  <w:style w:type="character" w:customStyle="1" w:styleId="Char0">
    <w:name w:val="页脚 Char"/>
    <w:basedOn w:val="a0"/>
    <w:link w:val="a4"/>
    <w:uiPriority w:val="99"/>
    <w:rsid w:val="00A27F1B"/>
    <w:rPr>
      <w:sz w:val="18"/>
      <w:szCs w:val="18"/>
    </w:rPr>
  </w:style>
  <w:style w:type="character" w:styleId="a5">
    <w:name w:val="Hyperlink"/>
    <w:basedOn w:val="a0"/>
    <w:uiPriority w:val="99"/>
    <w:semiHidden/>
    <w:unhideWhenUsed/>
    <w:rsid w:val="00CE6F94"/>
    <w:rPr>
      <w:color w:val="0000FF"/>
      <w:u w:val="single"/>
    </w:rPr>
  </w:style>
  <w:style w:type="paragraph" w:styleId="a6">
    <w:name w:val="Balloon Text"/>
    <w:basedOn w:val="a"/>
    <w:link w:val="Char1"/>
    <w:uiPriority w:val="99"/>
    <w:semiHidden/>
    <w:unhideWhenUsed/>
    <w:rsid w:val="002D2C0F"/>
    <w:rPr>
      <w:sz w:val="18"/>
      <w:szCs w:val="18"/>
    </w:rPr>
  </w:style>
  <w:style w:type="character" w:customStyle="1" w:styleId="Char1">
    <w:name w:val="批注框文本 Char"/>
    <w:basedOn w:val="a0"/>
    <w:link w:val="a6"/>
    <w:uiPriority w:val="99"/>
    <w:semiHidden/>
    <w:rsid w:val="002D2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8974">
      <w:bodyDiv w:val="1"/>
      <w:marLeft w:val="0"/>
      <w:marRight w:val="0"/>
      <w:marTop w:val="0"/>
      <w:marBottom w:val="0"/>
      <w:divBdr>
        <w:top w:val="none" w:sz="0" w:space="0" w:color="auto"/>
        <w:left w:val="none" w:sz="0" w:space="0" w:color="auto"/>
        <w:bottom w:val="none" w:sz="0" w:space="0" w:color="auto"/>
        <w:right w:val="none" w:sz="0" w:space="0" w:color="auto"/>
      </w:divBdr>
    </w:div>
    <w:div w:id="597057679">
      <w:bodyDiv w:val="1"/>
      <w:marLeft w:val="0"/>
      <w:marRight w:val="0"/>
      <w:marTop w:val="0"/>
      <w:marBottom w:val="0"/>
      <w:divBdr>
        <w:top w:val="none" w:sz="0" w:space="0" w:color="auto"/>
        <w:left w:val="none" w:sz="0" w:space="0" w:color="auto"/>
        <w:bottom w:val="none" w:sz="0" w:space="0" w:color="auto"/>
        <w:right w:val="none" w:sz="0" w:space="0" w:color="auto"/>
      </w:divBdr>
    </w:div>
    <w:div w:id="866797235">
      <w:bodyDiv w:val="1"/>
      <w:marLeft w:val="0"/>
      <w:marRight w:val="0"/>
      <w:marTop w:val="0"/>
      <w:marBottom w:val="0"/>
      <w:divBdr>
        <w:top w:val="none" w:sz="0" w:space="0" w:color="auto"/>
        <w:left w:val="none" w:sz="0" w:space="0" w:color="auto"/>
        <w:bottom w:val="none" w:sz="0" w:space="0" w:color="auto"/>
        <w:right w:val="none" w:sz="0" w:space="0" w:color="auto"/>
      </w:divBdr>
    </w:div>
    <w:div w:id="1137336223">
      <w:bodyDiv w:val="1"/>
      <w:marLeft w:val="0"/>
      <w:marRight w:val="0"/>
      <w:marTop w:val="0"/>
      <w:marBottom w:val="0"/>
      <w:divBdr>
        <w:top w:val="none" w:sz="0" w:space="0" w:color="auto"/>
        <w:left w:val="none" w:sz="0" w:space="0" w:color="auto"/>
        <w:bottom w:val="none" w:sz="0" w:space="0" w:color="auto"/>
        <w:right w:val="none" w:sz="0" w:space="0" w:color="auto"/>
      </w:divBdr>
    </w:div>
    <w:div w:id="1263762303">
      <w:bodyDiv w:val="1"/>
      <w:marLeft w:val="0"/>
      <w:marRight w:val="0"/>
      <w:marTop w:val="0"/>
      <w:marBottom w:val="0"/>
      <w:divBdr>
        <w:top w:val="none" w:sz="0" w:space="0" w:color="auto"/>
        <w:left w:val="none" w:sz="0" w:space="0" w:color="auto"/>
        <w:bottom w:val="none" w:sz="0" w:space="0" w:color="auto"/>
        <w:right w:val="none" w:sz="0" w:space="0" w:color="auto"/>
      </w:divBdr>
    </w:div>
    <w:div w:id="1414352301">
      <w:bodyDiv w:val="1"/>
      <w:marLeft w:val="0"/>
      <w:marRight w:val="0"/>
      <w:marTop w:val="0"/>
      <w:marBottom w:val="0"/>
      <w:divBdr>
        <w:top w:val="none" w:sz="0" w:space="0" w:color="auto"/>
        <w:left w:val="none" w:sz="0" w:space="0" w:color="auto"/>
        <w:bottom w:val="none" w:sz="0" w:space="0" w:color="auto"/>
        <w:right w:val="none" w:sz="0" w:space="0" w:color="auto"/>
      </w:divBdr>
    </w:div>
    <w:div w:id="1530296478">
      <w:bodyDiv w:val="1"/>
      <w:marLeft w:val="0"/>
      <w:marRight w:val="0"/>
      <w:marTop w:val="0"/>
      <w:marBottom w:val="0"/>
      <w:divBdr>
        <w:top w:val="none" w:sz="0" w:space="0" w:color="auto"/>
        <w:left w:val="none" w:sz="0" w:space="0" w:color="auto"/>
        <w:bottom w:val="none" w:sz="0" w:space="0" w:color="auto"/>
        <w:right w:val="none" w:sz="0" w:space="0" w:color="auto"/>
      </w:divBdr>
    </w:div>
    <w:div w:id="1537355575">
      <w:bodyDiv w:val="1"/>
      <w:marLeft w:val="0"/>
      <w:marRight w:val="0"/>
      <w:marTop w:val="0"/>
      <w:marBottom w:val="0"/>
      <w:divBdr>
        <w:top w:val="none" w:sz="0" w:space="0" w:color="auto"/>
        <w:left w:val="none" w:sz="0" w:space="0" w:color="auto"/>
        <w:bottom w:val="none" w:sz="0" w:space="0" w:color="auto"/>
        <w:right w:val="none" w:sz="0" w:space="0" w:color="auto"/>
      </w:divBdr>
    </w:div>
    <w:div w:id="1687290153">
      <w:bodyDiv w:val="1"/>
      <w:marLeft w:val="0"/>
      <w:marRight w:val="0"/>
      <w:marTop w:val="0"/>
      <w:marBottom w:val="0"/>
      <w:divBdr>
        <w:top w:val="none" w:sz="0" w:space="0" w:color="auto"/>
        <w:left w:val="none" w:sz="0" w:space="0" w:color="auto"/>
        <w:bottom w:val="none" w:sz="0" w:space="0" w:color="auto"/>
        <w:right w:val="none" w:sz="0" w:space="0" w:color="auto"/>
      </w:divBdr>
    </w:div>
    <w:div w:id="1821386497">
      <w:bodyDiv w:val="1"/>
      <w:marLeft w:val="0"/>
      <w:marRight w:val="0"/>
      <w:marTop w:val="0"/>
      <w:marBottom w:val="0"/>
      <w:divBdr>
        <w:top w:val="none" w:sz="0" w:space="0" w:color="auto"/>
        <w:left w:val="none" w:sz="0" w:space="0" w:color="auto"/>
        <w:bottom w:val="none" w:sz="0" w:space="0" w:color="auto"/>
        <w:right w:val="none" w:sz="0" w:space="0" w:color="auto"/>
      </w:divBdr>
    </w:div>
    <w:div w:id="2005354218">
      <w:bodyDiv w:val="1"/>
      <w:marLeft w:val="0"/>
      <w:marRight w:val="0"/>
      <w:marTop w:val="0"/>
      <w:marBottom w:val="0"/>
      <w:divBdr>
        <w:top w:val="none" w:sz="0" w:space="0" w:color="auto"/>
        <w:left w:val="none" w:sz="0" w:space="0" w:color="auto"/>
        <w:bottom w:val="none" w:sz="0" w:space="0" w:color="auto"/>
        <w:right w:val="none" w:sz="0" w:space="0" w:color="auto"/>
      </w:divBdr>
    </w:div>
    <w:div w:id="20218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o.com/s?q=%E5%95%86%E5%93%81&amp;ie=utf-8&amp;src=internal_wenda_recommend_textn"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www.so.com/s?q=%E9%94%80%E5%94%AE%E6%94%B6%E5%85%A5&amp;ie=utf-8&amp;src=internal_wenda_recommend_textn" TargetMode="Externa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www.so.com/s?q=%E9%9B%B6%E5%94%AE%E9%A2%9D&amp;ie=utf-8&amp;src=internal_wenda_recommend_textn" TargetMode="Externa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www.so.com/s?q=%E6%89%B9%E5%8F%91%E9%9B%B6%E5%94%AE%E4%B8%9A&amp;ie=utf-8&amp;src=internal_wenda_recommend_textn"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__10.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___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___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__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___14.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___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___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___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  2015-2019</a:t>
            </a:r>
            <a:r>
              <a:rPr lang="zh-CN" altLang="en-US" sz="1200" b="1"/>
              <a:t>年地区生产总值增长速度  </a:t>
            </a:r>
            <a:r>
              <a:rPr lang="zh-CN" altLang="en-US" sz="1000" b="1"/>
              <a:t>（按可比价）</a:t>
            </a:r>
          </a:p>
        </c:rich>
      </c:tx>
      <c:overlay val="0"/>
      <c:spPr>
        <a:noFill/>
        <a:ln>
          <a:noFill/>
        </a:ln>
        <a:effectLst/>
      </c:spPr>
    </c:title>
    <c:autoTitleDeleted val="0"/>
    <c:plotArea>
      <c:layout>
        <c:manualLayout>
          <c:layoutTarget val="inner"/>
          <c:xMode val="edge"/>
          <c:yMode val="edge"/>
          <c:x val="0.1165393700787402"/>
          <c:y val="0.17685185185185184"/>
          <c:w val="0.80058792650918653"/>
          <c:h val="0.60653543307086633"/>
        </c:manualLayout>
      </c:layout>
      <c:lineChart>
        <c:grouping val="standard"/>
        <c:varyColors val="0"/>
        <c:ser>
          <c:idx val="1"/>
          <c:order val="0"/>
          <c:tx>
            <c:strRef>
              <c:f>GDP!$A$9</c:f>
              <c:strCache>
                <c:ptCount val="1"/>
                <c:pt idx="0">
                  <c:v>比上年增长</c:v>
                </c:pt>
              </c:strCache>
            </c:strRef>
          </c:tx>
          <c:spPr>
            <a:ln w="22225" cap="rnd">
              <a:solidFill>
                <a:schemeClr val="accent6">
                  <a:lumMod val="60000"/>
                  <a:lumOff val="40000"/>
                </a:schemeClr>
              </a:solidFill>
              <a:round/>
            </a:ln>
            <a:effectLst/>
          </c:spPr>
          <c:marker>
            <c:symbol val="circle"/>
            <c:size val="4"/>
            <c:spPr>
              <a:solidFill>
                <a:srgbClr val="92D050"/>
              </a:solidFill>
              <a:ln w="9525">
                <a:solidFill>
                  <a:srgbClr val="92D050"/>
                </a:solidFill>
              </a:ln>
              <a:effectLst/>
            </c:spPr>
          </c:marker>
          <c:dLbls>
            <c:dLbl>
              <c:idx val="0"/>
              <c:layout>
                <c:manualLayout>
                  <c:x val="-3.3333333333333375E-2"/>
                  <c:y val="-5.09259259259259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129E-2"/>
                  <c:y val="-2.31481481481481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4E-2"/>
                  <c:y val="-3.240740740740741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333333333333334E-2"/>
                  <c:y val="3.240740740740734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6111111111111129E-2"/>
                  <c:y val="3.70370370370370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GDP!$B$7:$F$7</c:f>
              <c:strCache>
                <c:ptCount val="5"/>
                <c:pt idx="0">
                  <c:v>2015年</c:v>
                </c:pt>
                <c:pt idx="1">
                  <c:v>2016年</c:v>
                </c:pt>
                <c:pt idx="2">
                  <c:v>2017年</c:v>
                </c:pt>
                <c:pt idx="3">
                  <c:v>2018年</c:v>
                </c:pt>
                <c:pt idx="4">
                  <c:v>2019年</c:v>
                </c:pt>
              </c:strCache>
            </c:strRef>
          </c:cat>
          <c:val>
            <c:numRef>
              <c:f>GDP!$B$9:$F$9</c:f>
              <c:numCache>
                <c:formatCode>0.0_ </c:formatCode>
                <c:ptCount val="5"/>
                <c:pt idx="0">
                  <c:v>7.5</c:v>
                </c:pt>
                <c:pt idx="1">
                  <c:v>8.9</c:v>
                </c:pt>
                <c:pt idx="2">
                  <c:v>10.1</c:v>
                </c:pt>
                <c:pt idx="3">
                  <c:v>7.2</c:v>
                </c:pt>
                <c:pt idx="4">
                  <c:v>7</c:v>
                </c:pt>
              </c:numCache>
            </c:numRef>
          </c:val>
          <c:smooth val="0"/>
        </c:ser>
        <c:dLbls>
          <c:showLegendKey val="0"/>
          <c:showVal val="0"/>
          <c:showCatName val="0"/>
          <c:showSerName val="0"/>
          <c:showPercent val="0"/>
          <c:showBubbleSize val="0"/>
        </c:dLbls>
        <c:marker val="1"/>
        <c:smooth val="0"/>
        <c:axId val="697479032"/>
        <c:axId val="697479816"/>
      </c:lineChart>
      <c:catAx>
        <c:axId val="697479032"/>
        <c:scaling>
          <c:orientation val="minMax"/>
        </c:scaling>
        <c:delete val="0"/>
        <c:axPos val="b"/>
        <c:numFmt formatCode="General" sourceLinked="1"/>
        <c:majorTickMark val="in"/>
        <c:minorTickMark val="none"/>
        <c:tickLblPos val="nextTo"/>
        <c:spPr>
          <a:noFill/>
          <a:ln w="9525" cap="flat" cmpd="sng" algn="ctr">
            <a:solidFill>
              <a:srgbClr val="00B0F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7479816"/>
        <c:crosses val="autoZero"/>
        <c:auto val="1"/>
        <c:lblAlgn val="ctr"/>
        <c:lblOffset val="100"/>
        <c:noMultiLvlLbl val="0"/>
      </c:catAx>
      <c:valAx>
        <c:axId val="697479816"/>
        <c:scaling>
          <c:orientation val="minMax"/>
          <c:max val="15"/>
          <c:min val="0"/>
        </c:scaling>
        <c:delete val="0"/>
        <c:axPos val="l"/>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ltLang="zh-CN" sz="900"/>
                  <a:t>%</a:t>
                </a:r>
                <a:endParaRPr lang="zh-CN" altLang="en-US" sz="900"/>
              </a:p>
            </c:rich>
          </c:tx>
          <c:layout>
            <c:manualLayout>
              <c:xMode val="edge"/>
              <c:yMode val="edge"/>
              <c:x val="5.2777777777777792E-2"/>
              <c:y val="6.808242961877832E-2"/>
            </c:manualLayout>
          </c:layout>
          <c:overlay val="0"/>
          <c:spPr>
            <a:noFill/>
            <a:ln>
              <a:noFill/>
            </a:ln>
            <a:effectLst/>
          </c:spPr>
        </c:title>
        <c:numFmt formatCode="0.0_ "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97479032"/>
        <c:crosses val="autoZero"/>
        <c:crossBetween val="between"/>
        <c:majorUnit val="3"/>
        <c:min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10   2015-2019</a:t>
            </a:r>
            <a:r>
              <a:rPr lang="zh-CN" altLang="en-US" sz="1200" b="1"/>
              <a:t>年固定资产投资增长速度</a:t>
            </a:r>
          </a:p>
        </c:rich>
      </c:tx>
      <c:overlay val="0"/>
      <c:spPr>
        <a:noFill/>
        <a:ln>
          <a:noFill/>
        </a:ln>
        <a:effectLst/>
      </c:spPr>
    </c:title>
    <c:autoTitleDeleted val="0"/>
    <c:plotArea>
      <c:layout>
        <c:manualLayout>
          <c:layoutTarget val="inner"/>
          <c:xMode val="edge"/>
          <c:yMode val="edge"/>
          <c:x val="8.3664260717410413E-2"/>
          <c:y val="0.16483814523184601"/>
          <c:w val="0.8857801837270336"/>
          <c:h val="0.72776246719160109"/>
        </c:manualLayout>
      </c:layout>
      <c:lineChart>
        <c:grouping val="standard"/>
        <c:varyColors val="0"/>
        <c:ser>
          <c:idx val="0"/>
          <c:order val="0"/>
          <c:tx>
            <c:strRef>
              <c:f>Sheet1!$A$14</c:f>
              <c:strCache>
                <c:ptCount val="1"/>
                <c:pt idx="0">
                  <c:v>固定资产投资</c:v>
                </c:pt>
              </c:strCache>
            </c:strRef>
          </c:tx>
          <c:spPr>
            <a:ln w="2222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Sheet1!$B$14:$F$14</c:f>
              <c:numCache>
                <c:formatCode>General</c:formatCode>
                <c:ptCount val="5"/>
                <c:pt idx="0">
                  <c:v>17.8</c:v>
                </c:pt>
                <c:pt idx="1">
                  <c:v>18</c:v>
                </c:pt>
                <c:pt idx="2">
                  <c:v>16.600000000000001</c:v>
                </c:pt>
                <c:pt idx="3">
                  <c:v>11.7</c:v>
                </c:pt>
                <c:pt idx="4">
                  <c:v>11.8</c:v>
                </c:pt>
              </c:numCache>
            </c:numRef>
          </c:val>
          <c:smooth val="0"/>
        </c:ser>
        <c:dLbls>
          <c:showLegendKey val="0"/>
          <c:showVal val="0"/>
          <c:showCatName val="0"/>
          <c:showSerName val="0"/>
          <c:showPercent val="0"/>
          <c:showBubbleSize val="0"/>
        </c:dLbls>
        <c:marker val="1"/>
        <c:smooth val="0"/>
        <c:axId val="524071968"/>
        <c:axId val="524072360"/>
      </c:lineChart>
      <c:catAx>
        <c:axId val="524071968"/>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2360"/>
        <c:crosses val="autoZero"/>
        <c:auto val="1"/>
        <c:lblAlgn val="ctr"/>
        <c:lblOffset val="100"/>
        <c:noMultiLvlLbl val="0"/>
      </c:catAx>
      <c:valAx>
        <c:axId val="524072360"/>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3.0555555555555561E-2"/>
              <c:y val="8.1485491396908694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1968"/>
        <c:crosses val="autoZero"/>
        <c:crossBetween val="between"/>
        <c:majorUnit val="5"/>
        <c:min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11  2015-2019</a:t>
            </a:r>
            <a:r>
              <a:rPr lang="zh-CN" altLang="en-US" sz="1200" b="1"/>
              <a:t>年货物进出口总额</a:t>
            </a:r>
          </a:p>
        </c:rich>
      </c:tx>
      <c:layout>
        <c:manualLayout>
          <c:xMode val="edge"/>
          <c:yMode val="edge"/>
          <c:x val="0.22026377952755902"/>
          <c:y val="2.3148148148148147E-2"/>
        </c:manualLayout>
      </c:layout>
      <c:overlay val="0"/>
      <c:spPr>
        <a:noFill/>
        <a:ln>
          <a:noFill/>
        </a:ln>
        <a:effectLst/>
      </c:spPr>
    </c:title>
    <c:autoTitleDeleted val="0"/>
    <c:plotArea>
      <c:layout>
        <c:manualLayout>
          <c:layoutTarget val="inner"/>
          <c:xMode val="edge"/>
          <c:yMode val="edge"/>
          <c:x val="6.3803149606299209E-2"/>
          <c:y val="0.16483814523184601"/>
          <c:w val="0.90564129483814582"/>
          <c:h val="0.62185914260717456"/>
        </c:manualLayout>
      </c:layout>
      <c:barChart>
        <c:barDir val="col"/>
        <c:grouping val="stacked"/>
        <c:varyColors val="0"/>
        <c:ser>
          <c:idx val="0"/>
          <c:order val="0"/>
          <c:tx>
            <c:strRef>
              <c:f>Sheet1!$A$7</c:f>
              <c:strCache>
                <c:ptCount val="1"/>
                <c:pt idx="0">
                  <c:v>货物出口额</c:v>
                </c:pt>
              </c:strCache>
            </c:strRef>
          </c:tx>
          <c:spPr>
            <a:solidFill>
              <a:srgbClr val="FFC000">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Sheet1!$B$7:$F$7</c:f>
              <c:numCache>
                <c:formatCode>General</c:formatCode>
                <c:ptCount val="5"/>
                <c:pt idx="0">
                  <c:v>45.2</c:v>
                </c:pt>
                <c:pt idx="1">
                  <c:v>33.5</c:v>
                </c:pt>
                <c:pt idx="2">
                  <c:v>37.800000000000004</c:v>
                </c:pt>
                <c:pt idx="3">
                  <c:v>38.300000000000004</c:v>
                </c:pt>
                <c:pt idx="4">
                  <c:v>59</c:v>
                </c:pt>
              </c:numCache>
            </c:numRef>
          </c:val>
        </c:ser>
        <c:ser>
          <c:idx val="1"/>
          <c:order val="1"/>
          <c:tx>
            <c:strRef>
              <c:f>Sheet1!$A$8</c:f>
              <c:strCache>
                <c:ptCount val="1"/>
                <c:pt idx="0">
                  <c:v>货物进口额</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Sheet1!$B$8:$F$8</c:f>
              <c:numCache>
                <c:formatCode>General</c:formatCode>
                <c:ptCount val="5"/>
                <c:pt idx="0">
                  <c:v>1.45</c:v>
                </c:pt>
                <c:pt idx="1">
                  <c:v>0.87000000000000022</c:v>
                </c:pt>
                <c:pt idx="2">
                  <c:v>2.04</c:v>
                </c:pt>
                <c:pt idx="3">
                  <c:v>2.1</c:v>
                </c:pt>
                <c:pt idx="4">
                  <c:v>2.9</c:v>
                </c:pt>
              </c:numCache>
            </c:numRef>
          </c:val>
        </c:ser>
        <c:dLbls>
          <c:showLegendKey val="0"/>
          <c:showVal val="0"/>
          <c:showCatName val="0"/>
          <c:showSerName val="0"/>
          <c:showPercent val="0"/>
          <c:showBubbleSize val="0"/>
        </c:dLbls>
        <c:gapWidth val="150"/>
        <c:overlap val="100"/>
        <c:axId val="524073144"/>
        <c:axId val="524073536"/>
      </c:barChart>
      <c:catAx>
        <c:axId val="524073144"/>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3536"/>
        <c:crosses val="autoZero"/>
        <c:auto val="1"/>
        <c:lblAlgn val="ctr"/>
        <c:lblOffset val="100"/>
        <c:noMultiLvlLbl val="0"/>
      </c:catAx>
      <c:valAx>
        <c:axId val="524073536"/>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亿元</a:t>
                </a:r>
              </a:p>
            </c:rich>
          </c:tx>
          <c:layout>
            <c:manualLayout>
              <c:xMode val="edge"/>
              <c:yMode val="edge"/>
              <c:x val="0"/>
              <c:y val="6.3730679498396073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3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12  2015-2019</a:t>
            </a:r>
            <a:r>
              <a:rPr lang="zh-CN" altLang="en-US" sz="1200" b="1"/>
              <a:t>年地方一般公共预算收入</a:t>
            </a:r>
            <a:endParaRPr lang="zh-CN" altLang="en-US" sz="800" b="1"/>
          </a:p>
        </c:rich>
      </c:tx>
      <c:overlay val="0"/>
      <c:spPr>
        <a:noFill/>
        <a:ln>
          <a:noFill/>
        </a:ln>
        <a:effectLst/>
      </c:spPr>
    </c:title>
    <c:autoTitleDeleted val="0"/>
    <c:plotArea>
      <c:layout>
        <c:manualLayout>
          <c:layoutTarget val="inner"/>
          <c:xMode val="edge"/>
          <c:yMode val="edge"/>
          <c:x val="8.4803149606299227E-2"/>
          <c:y val="0.16483814523184601"/>
          <c:w val="0.88464129483814546"/>
          <c:h val="0.72776246719160109"/>
        </c:manualLayout>
      </c:layout>
      <c:barChart>
        <c:barDir val="col"/>
        <c:grouping val="clustered"/>
        <c:varyColors val="0"/>
        <c:ser>
          <c:idx val="0"/>
          <c:order val="0"/>
          <c:tx>
            <c:strRef>
              <c:f>Sheet1!$A$9</c:f>
              <c:strCache>
                <c:ptCount val="1"/>
                <c:pt idx="0">
                  <c:v>地方一般公共预算收入</c:v>
                </c:pt>
              </c:strCache>
            </c:strRef>
          </c:tx>
          <c:spPr>
            <a:solidFill>
              <a:srgbClr val="FF6699"/>
            </a:solidFill>
            <a:ln>
              <a:noFill/>
            </a:ln>
            <a:effectLst/>
          </c:spPr>
          <c:invertIfNegative val="0"/>
          <c:dPt>
            <c:idx val="4"/>
            <c:invertIfNegative val="0"/>
            <c:bubble3D val="0"/>
            <c:spPr>
              <a:solidFill>
                <a:srgbClr val="FF6699"/>
              </a:solidFill>
              <a:ln>
                <a:solidFill>
                  <a:srgbClr val="AC1476"/>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Sheet1!$B$9:$F$9</c:f>
              <c:numCache>
                <c:formatCode>General</c:formatCode>
                <c:ptCount val="5"/>
                <c:pt idx="0">
                  <c:v>93.4</c:v>
                </c:pt>
                <c:pt idx="1">
                  <c:v>100.3</c:v>
                </c:pt>
                <c:pt idx="2">
                  <c:v>107.7</c:v>
                </c:pt>
                <c:pt idx="3">
                  <c:v>113.3</c:v>
                </c:pt>
                <c:pt idx="4">
                  <c:v>120</c:v>
                </c:pt>
              </c:numCache>
            </c:numRef>
          </c:val>
        </c:ser>
        <c:dLbls>
          <c:showLegendKey val="0"/>
          <c:showVal val="0"/>
          <c:showCatName val="0"/>
          <c:showSerName val="0"/>
          <c:showPercent val="0"/>
          <c:showBubbleSize val="0"/>
        </c:dLbls>
        <c:gapWidth val="219"/>
        <c:overlap val="-27"/>
        <c:axId val="524074320"/>
        <c:axId val="524074712"/>
      </c:barChart>
      <c:catAx>
        <c:axId val="524074320"/>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4712"/>
        <c:crosses val="autoZero"/>
        <c:auto val="1"/>
        <c:lblAlgn val="ctr"/>
        <c:lblOffset val="100"/>
        <c:noMultiLvlLbl val="0"/>
      </c:catAx>
      <c:valAx>
        <c:axId val="524074712"/>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亿元</a:t>
                </a:r>
              </a:p>
            </c:rich>
          </c:tx>
          <c:layout>
            <c:manualLayout>
              <c:xMode val="edge"/>
              <c:yMode val="edge"/>
              <c:x val="1.3888888888888897E-2"/>
              <c:y val="6.8649934383202105E-2"/>
            </c:manualLayout>
          </c:layout>
          <c:overlay val="0"/>
          <c:spPr>
            <a:noFill/>
            <a:ln>
              <a:noFill/>
            </a:ln>
            <a:effectLst/>
          </c:spPr>
        </c:title>
        <c:numFmt formatCode="General" sourceLinked="1"/>
        <c:majorTickMark val="in"/>
        <c:minorTickMark val="none"/>
        <c:tickLblPos val="nextTo"/>
        <c:spPr>
          <a:noFill/>
          <a:ln>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43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zh-CN" altLang="en-US" sz="1100" b="1"/>
              <a:t>图</a:t>
            </a:r>
            <a:r>
              <a:rPr lang="en-US" altLang="zh-CN" sz="1100" b="1"/>
              <a:t>13 2015-2019</a:t>
            </a:r>
            <a:r>
              <a:rPr lang="zh-CN" altLang="en-US" sz="1100" b="1"/>
              <a:t>年全市居民人均可支配收入及其增长速度</a:t>
            </a:r>
            <a:r>
              <a:rPr lang="zh-CN" altLang="en-US" sz="1100" b="1" baseline="0"/>
              <a:t> </a:t>
            </a:r>
            <a:endParaRPr lang="zh-CN" altLang="en-US" sz="1100" b="1"/>
          </a:p>
        </c:rich>
      </c:tx>
      <c:layout>
        <c:manualLayout>
          <c:xMode val="edge"/>
          <c:yMode val="edge"/>
          <c:x val="0.13415966754155725"/>
          <c:y val="4.6296296296296311E-3"/>
        </c:manualLayout>
      </c:layout>
      <c:overlay val="0"/>
      <c:spPr>
        <a:noFill/>
        <a:ln>
          <a:noFill/>
        </a:ln>
        <a:effectLst/>
      </c:spPr>
    </c:title>
    <c:autoTitleDeleted val="0"/>
    <c:plotArea>
      <c:layout>
        <c:manualLayout>
          <c:layoutTarget val="inner"/>
          <c:xMode val="edge"/>
          <c:yMode val="edge"/>
          <c:x val="9.3469816272965883E-2"/>
          <c:y val="0.16483814523184601"/>
          <c:w val="0.8395325896762903"/>
          <c:h val="0.69130358705161832"/>
        </c:manualLayout>
      </c:layout>
      <c:barChart>
        <c:barDir val="col"/>
        <c:grouping val="clustered"/>
        <c:varyColors val="0"/>
        <c:ser>
          <c:idx val="0"/>
          <c:order val="0"/>
          <c:tx>
            <c:strRef>
              <c:f>Sheet4!$E$2</c:f>
              <c:strCache>
                <c:ptCount val="1"/>
                <c:pt idx="0">
                  <c:v>全市居民人均可支配收入</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Sheet4!$F$1:$J$1</c:f>
              <c:numCache>
                <c:formatCode>General</c:formatCode>
                <c:ptCount val="5"/>
                <c:pt idx="0">
                  <c:v>2015</c:v>
                </c:pt>
                <c:pt idx="1">
                  <c:v>2016</c:v>
                </c:pt>
                <c:pt idx="2">
                  <c:v>2017</c:v>
                </c:pt>
                <c:pt idx="3">
                  <c:v>2018</c:v>
                </c:pt>
                <c:pt idx="4">
                  <c:v>2019</c:v>
                </c:pt>
              </c:numCache>
            </c:numRef>
          </c:cat>
          <c:val>
            <c:numRef>
              <c:f>Sheet4!$F$2:$J$2</c:f>
              <c:numCache>
                <c:formatCode>General</c:formatCode>
                <c:ptCount val="5"/>
                <c:pt idx="0">
                  <c:v>15723</c:v>
                </c:pt>
                <c:pt idx="1">
                  <c:v>17062</c:v>
                </c:pt>
                <c:pt idx="2">
                  <c:v>18716</c:v>
                </c:pt>
                <c:pt idx="3">
                  <c:v>20287</c:v>
                </c:pt>
                <c:pt idx="4">
                  <c:v>22211</c:v>
                </c:pt>
              </c:numCache>
            </c:numRef>
          </c:val>
        </c:ser>
        <c:dLbls>
          <c:showLegendKey val="0"/>
          <c:showVal val="0"/>
          <c:showCatName val="0"/>
          <c:showSerName val="0"/>
          <c:showPercent val="0"/>
          <c:showBubbleSize val="0"/>
        </c:dLbls>
        <c:gapWidth val="219"/>
        <c:overlap val="-27"/>
        <c:axId val="524075496"/>
        <c:axId val="702338880"/>
      </c:barChart>
      <c:lineChart>
        <c:grouping val="standard"/>
        <c:varyColors val="0"/>
        <c:ser>
          <c:idx val="1"/>
          <c:order val="1"/>
          <c:tx>
            <c:strRef>
              <c:f>Sheet4!$E$3</c:f>
              <c:strCache>
                <c:ptCount val="1"/>
                <c:pt idx="0">
                  <c:v>比上年实际增长</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Sheet4!$F$1:$J$1</c:f>
              <c:numCache>
                <c:formatCode>General</c:formatCode>
                <c:ptCount val="5"/>
                <c:pt idx="0">
                  <c:v>2015</c:v>
                </c:pt>
                <c:pt idx="1">
                  <c:v>2016</c:v>
                </c:pt>
                <c:pt idx="2">
                  <c:v>2017</c:v>
                </c:pt>
                <c:pt idx="3">
                  <c:v>2018</c:v>
                </c:pt>
                <c:pt idx="4">
                  <c:v>2019</c:v>
                </c:pt>
              </c:numCache>
            </c:numRef>
          </c:cat>
          <c:val>
            <c:numRef>
              <c:f>Sheet4!$F$3:$J$3</c:f>
              <c:numCache>
                <c:formatCode>General</c:formatCode>
                <c:ptCount val="5"/>
                <c:pt idx="0">
                  <c:v>9.6</c:v>
                </c:pt>
                <c:pt idx="1">
                  <c:v>8.5</c:v>
                </c:pt>
                <c:pt idx="2">
                  <c:v>9.7000000000000011</c:v>
                </c:pt>
                <c:pt idx="3">
                  <c:v>8.4</c:v>
                </c:pt>
                <c:pt idx="4">
                  <c:v>9.5</c:v>
                </c:pt>
              </c:numCache>
            </c:numRef>
          </c:val>
          <c:smooth val="0"/>
        </c:ser>
        <c:dLbls>
          <c:showLegendKey val="0"/>
          <c:showVal val="0"/>
          <c:showCatName val="0"/>
          <c:showSerName val="0"/>
          <c:showPercent val="0"/>
          <c:showBubbleSize val="0"/>
        </c:dLbls>
        <c:marker val="1"/>
        <c:smooth val="0"/>
        <c:axId val="702339664"/>
        <c:axId val="702339272"/>
      </c:lineChart>
      <c:catAx>
        <c:axId val="524075496"/>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2338880"/>
        <c:crosses val="autoZero"/>
        <c:auto val="1"/>
        <c:lblAlgn val="ctr"/>
        <c:lblOffset val="100"/>
        <c:noMultiLvlLbl val="0"/>
      </c:catAx>
      <c:valAx>
        <c:axId val="702338880"/>
        <c:scaling>
          <c:orientation val="minMax"/>
        </c:scaling>
        <c:delete val="0"/>
        <c:axPos val="l"/>
        <c:title>
          <c:tx>
            <c:rich>
              <a:bodyPr rot="0" spcFirstLastPara="1" vertOverflow="ellipsis" wrap="square" anchor="ctr" anchorCtr="1"/>
              <a:lstStyle/>
              <a:p>
                <a:pPr algn="ctr">
                  <a:defRPr sz="900" b="0" i="0" u="none" strike="noStrike" kern="1200" baseline="0">
                    <a:solidFill>
                      <a:schemeClr val="tx1">
                        <a:lumMod val="65000"/>
                        <a:lumOff val="35000"/>
                      </a:schemeClr>
                    </a:solidFill>
                    <a:latin typeface="+mn-lt"/>
                    <a:ea typeface="+mn-ea"/>
                    <a:cs typeface="+mn-cs"/>
                  </a:defRPr>
                </a:pPr>
                <a:r>
                  <a:rPr lang="zh-CN" altLang="en-US" sz="900"/>
                  <a:t>元</a:t>
                </a:r>
              </a:p>
            </c:rich>
          </c:tx>
          <c:layout>
            <c:manualLayout>
              <c:xMode val="edge"/>
              <c:yMode val="edge"/>
              <c:x val="2.2222222222222233E-2"/>
              <c:y val="6.3730679498396073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5496"/>
        <c:crosses val="autoZero"/>
        <c:crossBetween val="between"/>
      </c:valAx>
      <c:valAx>
        <c:axId val="702339272"/>
        <c:scaling>
          <c:orientation val="minMax"/>
          <c:max val="20"/>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0.94680555555555601"/>
              <c:y val="7.9459755030621193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2339664"/>
        <c:crosses val="max"/>
        <c:crossBetween val="between"/>
      </c:valAx>
      <c:catAx>
        <c:axId val="702339664"/>
        <c:scaling>
          <c:orientation val="minMax"/>
        </c:scaling>
        <c:delete val="1"/>
        <c:axPos val="b"/>
        <c:numFmt formatCode="General" sourceLinked="1"/>
        <c:majorTickMark val="out"/>
        <c:minorTickMark val="none"/>
        <c:tickLblPos val="nextTo"/>
        <c:crossAx val="702339272"/>
        <c:crosses val="autoZero"/>
        <c:auto val="1"/>
        <c:lblAlgn val="ctr"/>
        <c:lblOffset val="100"/>
        <c:noMultiLvlLbl val="0"/>
      </c:catAx>
      <c:spPr>
        <a:noFill/>
        <a:ln>
          <a:noFill/>
        </a:ln>
        <a:effectLst/>
      </c:spPr>
    </c:plotArea>
    <c:legend>
      <c:legendPos val="b"/>
      <c:layout>
        <c:manualLayout>
          <c:xMode val="edge"/>
          <c:yMode val="edge"/>
          <c:x val="0.10555555555555558"/>
          <c:y val="0.13946704578594349"/>
          <c:w val="0.64000000000000024"/>
          <c:h val="7.253390201224849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14  2015-2019</a:t>
            </a:r>
            <a:r>
              <a:rPr lang="zh-CN" altLang="en-US" sz="1200" b="1"/>
              <a:t>年旅游接待总人数及其增速</a:t>
            </a:r>
          </a:p>
        </c:rich>
      </c:tx>
      <c:layout>
        <c:manualLayout>
          <c:xMode val="edge"/>
          <c:yMode val="edge"/>
          <c:x val="0.17804155730533688"/>
          <c:y val="1.3888888888888897E-2"/>
        </c:manualLayout>
      </c:layout>
      <c:overlay val="0"/>
      <c:spPr>
        <a:noFill/>
        <a:ln>
          <a:noFill/>
        </a:ln>
        <a:effectLst/>
      </c:spPr>
    </c:title>
    <c:autoTitleDeleted val="0"/>
    <c:plotArea>
      <c:layout>
        <c:manualLayout>
          <c:layoutTarget val="inner"/>
          <c:xMode val="edge"/>
          <c:yMode val="edge"/>
          <c:x val="9.1914260717410351E-2"/>
          <c:y val="0.17685185185185184"/>
          <c:w val="0.84150481189851289"/>
          <c:h val="0.72095654709827961"/>
        </c:manualLayout>
      </c:layout>
      <c:barChart>
        <c:barDir val="col"/>
        <c:grouping val="clustered"/>
        <c:varyColors val="0"/>
        <c:ser>
          <c:idx val="0"/>
          <c:order val="0"/>
          <c:tx>
            <c:strRef>
              <c:f>Sheet1!$A$10</c:f>
              <c:strCache>
                <c:ptCount val="1"/>
                <c:pt idx="0">
                  <c:v>旅游接待总人数</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Sheet1!$B$10:$F$10</c:f>
              <c:numCache>
                <c:formatCode>General</c:formatCode>
                <c:ptCount val="5"/>
                <c:pt idx="0">
                  <c:v>4040.4</c:v>
                </c:pt>
                <c:pt idx="1">
                  <c:v>4702.8</c:v>
                </c:pt>
                <c:pt idx="2">
                  <c:v>5557.8</c:v>
                </c:pt>
                <c:pt idx="3">
                  <c:v>6514.1</c:v>
                </c:pt>
                <c:pt idx="4">
                  <c:v>7540.3</c:v>
                </c:pt>
              </c:numCache>
            </c:numRef>
          </c:val>
        </c:ser>
        <c:dLbls>
          <c:showLegendKey val="0"/>
          <c:showVal val="0"/>
          <c:showCatName val="0"/>
          <c:showSerName val="0"/>
          <c:showPercent val="0"/>
          <c:showBubbleSize val="0"/>
        </c:dLbls>
        <c:gapWidth val="219"/>
        <c:overlap val="-27"/>
        <c:axId val="702340448"/>
        <c:axId val="702340840"/>
      </c:barChart>
      <c:lineChart>
        <c:grouping val="standard"/>
        <c:varyColors val="0"/>
        <c:ser>
          <c:idx val="1"/>
          <c:order val="1"/>
          <c:tx>
            <c:strRef>
              <c:f>Sheet1!$A$11</c:f>
              <c:strCache>
                <c:ptCount val="1"/>
                <c:pt idx="0">
                  <c:v>比上年增长</c:v>
                </c:pt>
              </c:strCache>
            </c:strRef>
          </c:tx>
          <c:spPr>
            <a:ln w="21590" cap="rnd">
              <a:solidFill>
                <a:schemeClr val="accent2"/>
              </a:solidFill>
              <a:round/>
            </a:ln>
            <a:effectLst/>
          </c:spPr>
          <c:marker>
            <c:symbol val="circle"/>
            <c:size val="4"/>
            <c:spPr>
              <a:solidFill>
                <a:schemeClr val="accent2"/>
              </a:solidFill>
              <a:ln w="9525">
                <a:solidFill>
                  <a:schemeClr val="accent2"/>
                </a:solidFill>
              </a:ln>
              <a:effectLst/>
            </c:spPr>
          </c:marker>
          <c:dLbls>
            <c:dLbl>
              <c:idx val="0"/>
              <c:layout>
                <c:manualLayout>
                  <c:x val="-4.5763998250218763E-2"/>
                  <c:y val="4.39468503937007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5763998250218763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5763998250218874E-2"/>
                  <c:y val="4.85764800233303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5763998250218658E-2"/>
                  <c:y val="3.931722076407117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Sheet1!$B$11:$F$11</c:f>
              <c:numCache>
                <c:formatCode>General</c:formatCode>
                <c:ptCount val="5"/>
                <c:pt idx="0">
                  <c:v>16.7</c:v>
                </c:pt>
                <c:pt idx="1">
                  <c:v>17.3</c:v>
                </c:pt>
                <c:pt idx="2">
                  <c:v>18.2</c:v>
                </c:pt>
                <c:pt idx="3">
                  <c:v>17.2</c:v>
                </c:pt>
                <c:pt idx="4">
                  <c:v>15.8</c:v>
                </c:pt>
              </c:numCache>
            </c:numRef>
          </c:val>
          <c:smooth val="0"/>
        </c:ser>
        <c:dLbls>
          <c:showLegendKey val="0"/>
          <c:showVal val="0"/>
          <c:showCatName val="0"/>
          <c:showSerName val="0"/>
          <c:showPercent val="0"/>
          <c:showBubbleSize val="0"/>
        </c:dLbls>
        <c:marker val="1"/>
        <c:smooth val="0"/>
        <c:axId val="702341624"/>
        <c:axId val="702341232"/>
      </c:lineChart>
      <c:catAx>
        <c:axId val="702340448"/>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2340840"/>
        <c:crosses val="autoZero"/>
        <c:auto val="1"/>
        <c:lblAlgn val="ctr"/>
        <c:lblOffset val="100"/>
        <c:noMultiLvlLbl val="0"/>
      </c:catAx>
      <c:valAx>
        <c:axId val="702340840"/>
        <c:scaling>
          <c:orientation val="minMax"/>
        </c:scaling>
        <c:delete val="0"/>
        <c:axPos val="l"/>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zh-CN" altLang="en-US" sz="900"/>
                  <a:t>万人次</a:t>
                </a:r>
              </a:p>
            </c:rich>
          </c:tx>
          <c:layout>
            <c:manualLayout>
              <c:xMode val="edge"/>
              <c:yMode val="edge"/>
              <c:x val="5.5555555555555558E-3"/>
              <c:y val="6.9737532808399005E-2"/>
            </c:manualLayout>
          </c:layout>
          <c:overlay val="0"/>
          <c:spPr>
            <a:noFill/>
            <a:ln>
              <a:noFill/>
            </a:ln>
            <a:effectLst/>
          </c:spPr>
        </c:title>
        <c:numFmt formatCode="General" sourceLinked="1"/>
        <c:majorTickMark val="in"/>
        <c:minorTickMark val="none"/>
        <c:tickLblPos val="nextTo"/>
        <c:spPr>
          <a:noFill/>
          <a:ln>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2340448"/>
        <c:crosses val="autoZero"/>
        <c:crossBetween val="between"/>
        <c:majorUnit val="2000"/>
      </c:valAx>
      <c:valAx>
        <c:axId val="702341232"/>
        <c:scaling>
          <c:orientation val="minMax"/>
          <c:max val="25"/>
          <c:min val="10"/>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0.94680555555555601"/>
              <c:y val="7.1577719451735189E-2"/>
            </c:manualLayout>
          </c:layout>
          <c:overlay val="0"/>
          <c:spPr>
            <a:noFill/>
            <a:ln>
              <a:noFill/>
            </a:ln>
            <a:effectLst/>
          </c:spPr>
        </c:title>
        <c:numFmt formatCode="General" sourceLinked="1"/>
        <c:majorTickMark val="in"/>
        <c:minorTickMark val="none"/>
        <c:tickLblPos val="nextTo"/>
        <c:spPr>
          <a:noFill/>
          <a:ln>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02341624"/>
        <c:crosses val="max"/>
        <c:crossBetween val="between"/>
        <c:majorUnit val="5"/>
      </c:valAx>
      <c:catAx>
        <c:axId val="702341624"/>
        <c:scaling>
          <c:orientation val="minMax"/>
        </c:scaling>
        <c:delete val="1"/>
        <c:axPos val="b"/>
        <c:numFmt formatCode="General" sourceLinked="1"/>
        <c:majorTickMark val="out"/>
        <c:minorTickMark val="none"/>
        <c:tickLblPos val="nextTo"/>
        <c:crossAx val="702341232"/>
        <c:crosses val="autoZero"/>
        <c:auto val="1"/>
        <c:lblAlgn val="ctr"/>
        <c:lblOffset val="100"/>
        <c:noMultiLvlLbl val="0"/>
      </c:catAx>
      <c:spPr>
        <a:noFill/>
        <a:ln>
          <a:noFill/>
        </a:ln>
        <a:effectLst/>
      </c:spPr>
    </c:plotArea>
    <c:legend>
      <c:legendPos val="b"/>
      <c:layout>
        <c:manualLayout>
          <c:xMode val="edge"/>
          <c:yMode val="edge"/>
          <c:x val="0.12055555555555561"/>
          <c:y val="0.16261519393409157"/>
          <c:w val="0.28666666666666685"/>
          <c:h val="0.138310731991834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2  2019</a:t>
            </a:r>
            <a:r>
              <a:rPr lang="zh-CN" altLang="en-US" sz="1200" b="1"/>
              <a:t>年三次产业增加值占</a:t>
            </a:r>
            <a:r>
              <a:rPr lang="en-US" altLang="zh-CN" sz="1200" b="1"/>
              <a:t>GDP</a:t>
            </a:r>
            <a:r>
              <a:rPr lang="zh-CN" altLang="en-US" sz="1200" b="1"/>
              <a:t>比重   </a:t>
            </a:r>
            <a:r>
              <a:rPr lang="en-US" altLang="zh-CN" sz="1200" b="1"/>
              <a:t>%</a:t>
            </a:r>
            <a:endParaRPr lang="zh-CN" altLang="en-US" sz="1200" b="1"/>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GDP!$F$2</c:f>
              <c:strCache>
                <c:ptCount val="1"/>
                <c:pt idx="0">
                  <c:v>2019年</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rgbClr val="FFC000"/>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GDP!$A$3:$A$5</c:f>
              <c:strCache>
                <c:ptCount val="3"/>
                <c:pt idx="0">
                  <c:v>第一产业</c:v>
                </c:pt>
                <c:pt idx="1">
                  <c:v>第二产业</c:v>
                </c:pt>
                <c:pt idx="2">
                  <c:v>第三产业</c:v>
                </c:pt>
              </c:strCache>
            </c:strRef>
          </c:cat>
          <c:val>
            <c:numRef>
              <c:f>GDP!$F$3:$F$5</c:f>
              <c:numCache>
                <c:formatCode>0.0_ </c:formatCode>
                <c:ptCount val="3"/>
                <c:pt idx="0">
                  <c:v>8.5</c:v>
                </c:pt>
                <c:pt idx="1">
                  <c:v>43.9</c:v>
                </c:pt>
                <c:pt idx="2">
                  <c:v>47.6</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3  2015-2019</a:t>
            </a:r>
            <a:r>
              <a:rPr lang="zh-CN" altLang="en-US" sz="1200" b="1"/>
              <a:t>年常住人口城镇化率</a:t>
            </a:r>
          </a:p>
        </c:rich>
      </c:tx>
      <c:overlay val="0"/>
      <c:spPr>
        <a:noFill/>
        <a:ln>
          <a:noFill/>
        </a:ln>
        <a:effectLst/>
      </c:spPr>
    </c:title>
    <c:autoTitleDeleted val="0"/>
    <c:plotArea>
      <c:layout>
        <c:manualLayout>
          <c:layoutTarget val="inner"/>
          <c:xMode val="edge"/>
          <c:yMode val="edge"/>
          <c:x val="7.5330927384077012E-2"/>
          <c:y val="0.17685185185185184"/>
          <c:w val="0.89411351706036746"/>
          <c:h val="0.71574876057159564"/>
        </c:manualLayout>
      </c:layout>
      <c:lineChart>
        <c:grouping val="standard"/>
        <c:varyColors val="0"/>
        <c:ser>
          <c:idx val="0"/>
          <c:order val="0"/>
          <c:tx>
            <c:strRef>
              <c:f>Sheet1!$A$2</c:f>
              <c:strCache>
                <c:ptCount val="1"/>
                <c:pt idx="0">
                  <c:v>城镇化率</c:v>
                </c:pt>
              </c:strCache>
            </c:strRef>
          </c:tx>
          <c:spPr>
            <a:ln w="22225" cap="rnd">
              <a:solidFill>
                <a:srgbClr val="FFC000"/>
              </a:solidFill>
              <a:round/>
            </a:ln>
            <a:effectLst/>
          </c:spPr>
          <c:marker>
            <c:symbol val="diamond"/>
            <c:size val="5"/>
            <c:spPr>
              <a:solidFill>
                <a:srgbClr val="FFC000"/>
              </a:solidFill>
              <a:ln w="9525">
                <a:solidFill>
                  <a:srgbClr val="FFC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52.9</c:v>
                </c:pt>
                <c:pt idx="1">
                  <c:v>54.1</c:v>
                </c:pt>
                <c:pt idx="2">
                  <c:v>55.1</c:v>
                </c:pt>
                <c:pt idx="3">
                  <c:v>55.9</c:v>
                </c:pt>
                <c:pt idx="4">
                  <c:v>56.5</c:v>
                </c:pt>
              </c:numCache>
            </c:numRef>
          </c:val>
          <c:smooth val="0"/>
        </c:ser>
        <c:dLbls>
          <c:showLegendKey val="0"/>
          <c:showVal val="0"/>
          <c:showCatName val="0"/>
          <c:showSerName val="0"/>
          <c:showPercent val="0"/>
          <c:showBubbleSize val="0"/>
        </c:dLbls>
        <c:marker val="1"/>
        <c:smooth val="0"/>
        <c:axId val="519778760"/>
        <c:axId val="519778368"/>
      </c:lineChart>
      <c:catAx>
        <c:axId val="519778760"/>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778368"/>
        <c:crosses val="autoZero"/>
        <c:auto val="1"/>
        <c:lblAlgn val="ctr"/>
        <c:lblOffset val="100"/>
        <c:noMultiLvlLbl val="0"/>
      </c:catAx>
      <c:valAx>
        <c:axId val="519778368"/>
        <c:scaling>
          <c:orientation val="minMax"/>
          <c:max val="60"/>
          <c:min val="50"/>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2.5000000000000001E-2"/>
              <c:y val="8.2989938757655313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778760"/>
        <c:crosses val="autoZero"/>
        <c:crossBetween val="between"/>
        <c:maj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4   2019</a:t>
            </a:r>
            <a:r>
              <a:rPr lang="zh-CN" altLang="en-US" sz="1200" b="1"/>
              <a:t>年居民消费价格月度涨跌幅度</a:t>
            </a:r>
            <a:endParaRPr lang="zh-CN" altLang="en-US" sz="900" b="1"/>
          </a:p>
        </c:rich>
      </c:tx>
      <c:overlay val="0"/>
      <c:spPr>
        <a:noFill/>
        <a:ln>
          <a:noFill/>
        </a:ln>
        <a:effectLst/>
      </c:spPr>
    </c:title>
    <c:autoTitleDeleted val="0"/>
    <c:plotArea>
      <c:layout>
        <c:manualLayout>
          <c:layoutTarget val="inner"/>
          <c:xMode val="edge"/>
          <c:yMode val="edge"/>
          <c:x val="6.1983814523184612E-2"/>
          <c:y val="0.16483814523184601"/>
          <c:w val="0.9074606299212592"/>
          <c:h val="0.77457064914129814"/>
        </c:manualLayout>
      </c:layout>
      <c:lineChart>
        <c:grouping val="standard"/>
        <c:varyColors val="0"/>
        <c:ser>
          <c:idx val="0"/>
          <c:order val="0"/>
          <c:tx>
            <c:strRef>
              <c:f>Sheet3!$A$4</c:f>
              <c:strCache>
                <c:ptCount val="1"/>
                <c:pt idx="0">
                  <c:v>同比</c:v>
                </c:pt>
              </c:strCache>
            </c:strRef>
          </c:tx>
          <c:spPr>
            <a:ln w="2222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3.9430664916885405E-2"/>
                  <c:y val="-5.32061096529600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9430664916885391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9430664916885412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943066491688544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430664916885391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9430664916885336E-2"/>
                  <c:y val="-5.32061096529600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4.2208442694663152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9430664916885391E-2"/>
                  <c:y val="-4.39468503937007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9430664916885391E-2"/>
                  <c:y val="-4.85764800233304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2208442694663152E-2"/>
                  <c:y val="-3.93172207640711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9430664916885488E-2"/>
                  <c:y val="-4.8576480023330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9430664916885488E-2"/>
                  <c:y val="-3.005796150481190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Sheet3!$B$3:$M$3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Sheet3!$B$4:$M$4</c:f>
              <c:numCache>
                <c:formatCode>General</c:formatCode>
                <c:ptCount val="12"/>
                <c:pt idx="0">
                  <c:v>2.1</c:v>
                </c:pt>
                <c:pt idx="1">
                  <c:v>2.2999999999999998</c:v>
                </c:pt>
                <c:pt idx="2">
                  <c:v>2.7</c:v>
                </c:pt>
                <c:pt idx="3">
                  <c:v>3.1</c:v>
                </c:pt>
                <c:pt idx="4">
                  <c:v>3.1</c:v>
                </c:pt>
                <c:pt idx="5">
                  <c:v>3.3</c:v>
                </c:pt>
                <c:pt idx="6">
                  <c:v>3.4</c:v>
                </c:pt>
                <c:pt idx="7">
                  <c:v>2.7</c:v>
                </c:pt>
                <c:pt idx="8">
                  <c:v>2.8</c:v>
                </c:pt>
                <c:pt idx="9">
                  <c:v>3.4</c:v>
                </c:pt>
                <c:pt idx="10">
                  <c:v>3.9</c:v>
                </c:pt>
                <c:pt idx="11" formatCode="0.0_ ">
                  <c:v>4</c:v>
                </c:pt>
              </c:numCache>
            </c:numRef>
          </c:val>
          <c:smooth val="0"/>
        </c:ser>
        <c:ser>
          <c:idx val="1"/>
          <c:order val="1"/>
          <c:tx>
            <c:strRef>
              <c:f>Sheet3!$A$5</c:f>
              <c:strCache>
                <c:ptCount val="1"/>
                <c:pt idx="0">
                  <c:v>环比</c:v>
                </c:pt>
              </c:strCache>
            </c:strRef>
          </c:tx>
          <c:spPr>
            <a:ln w="2222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4.2208442694663152E-2"/>
                  <c:y val="-4.3946850393700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9430664916885391E-2"/>
                  <c:y val="-3.93172207640712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3256999125109392E-2"/>
                  <c:y val="2.54975940507436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208442694663215E-2"/>
                  <c:y val="-3.00579615048119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6.5479221347331695E-2"/>
                  <c:y val="2.549759405074365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1.2701443569553907E-2"/>
                  <c:y val="1.62383347914844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9430664916885391E-2"/>
                  <c:y val="-5.32061096529601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9430664916885391E-2"/>
                  <c:y val="-3.93172207640711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9430664916885391E-2"/>
                  <c:y val="-3.00579615048119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3875109361329848E-2"/>
                  <c:y val="-3.00579615048119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6.5479221347331723E-2"/>
                  <c:y val="1.16087051618548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2.3738188976377951E-2"/>
                  <c:y val="6.9790755322250552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Sheet3!$B$3:$M$3</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Sheet3!$B$5:$M$5</c:f>
              <c:numCache>
                <c:formatCode>General</c:formatCode>
                <c:ptCount val="12"/>
                <c:pt idx="0">
                  <c:v>0.3000000000000001</c:v>
                </c:pt>
                <c:pt idx="1">
                  <c:v>1.4</c:v>
                </c:pt>
                <c:pt idx="2">
                  <c:v>-0.70000000000000018</c:v>
                </c:pt>
                <c:pt idx="3">
                  <c:v>0.4</c:v>
                </c:pt>
                <c:pt idx="4">
                  <c:v>-0.1</c:v>
                </c:pt>
                <c:pt idx="5">
                  <c:v>-0.1</c:v>
                </c:pt>
                <c:pt idx="6">
                  <c:v>0.2</c:v>
                </c:pt>
                <c:pt idx="7">
                  <c:v>0.6000000000000002</c:v>
                </c:pt>
                <c:pt idx="8">
                  <c:v>1.3</c:v>
                </c:pt>
                <c:pt idx="9">
                  <c:v>0.8</c:v>
                </c:pt>
                <c:pt idx="10">
                  <c:v>-0.1</c:v>
                </c:pt>
                <c:pt idx="11">
                  <c:v>-0.1</c:v>
                </c:pt>
              </c:numCache>
            </c:numRef>
          </c:val>
          <c:smooth val="0"/>
        </c:ser>
        <c:dLbls>
          <c:showLegendKey val="0"/>
          <c:showVal val="0"/>
          <c:showCatName val="0"/>
          <c:showSerName val="0"/>
          <c:showPercent val="0"/>
          <c:showBubbleSize val="0"/>
        </c:dLbls>
        <c:marker val="1"/>
        <c:smooth val="0"/>
        <c:axId val="519779936"/>
        <c:axId val="519776408"/>
      </c:lineChart>
      <c:catAx>
        <c:axId val="519779936"/>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776408"/>
        <c:crosses val="autoZero"/>
        <c:auto val="1"/>
        <c:lblAlgn val="ctr"/>
        <c:lblOffset val="100"/>
        <c:noMultiLvlLbl val="0"/>
      </c:catAx>
      <c:valAx>
        <c:axId val="519776408"/>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2.7777777777777801E-2"/>
              <c:y val="4.7511300670749476E-2"/>
            </c:manualLayout>
          </c:layout>
          <c:overlay val="0"/>
          <c:spPr>
            <a:noFill/>
            <a:ln>
              <a:noFill/>
            </a:ln>
            <a:effectLst/>
          </c:spPr>
        </c:title>
        <c:numFmt formatCode="General"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779936"/>
        <c:crosses val="autoZero"/>
        <c:crossBetween val="between"/>
      </c:valAx>
      <c:spPr>
        <a:noFill/>
        <a:ln>
          <a:noFill/>
        </a:ln>
        <a:effectLst/>
      </c:spPr>
    </c:plotArea>
    <c:legend>
      <c:legendPos val="b"/>
      <c:layout>
        <c:manualLayout>
          <c:xMode val="edge"/>
          <c:yMode val="edge"/>
          <c:x val="7.9444444444444484E-2"/>
          <c:y val="0.15798556430446201"/>
          <c:w val="0.2800000000000000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5  2015-2019</a:t>
            </a:r>
            <a:r>
              <a:rPr lang="zh-CN" altLang="en-US" sz="1200" b="1"/>
              <a:t>年第一产业增加值增速</a:t>
            </a:r>
            <a:r>
              <a:rPr lang="zh-CN" altLang="en-US" sz="1000" b="1"/>
              <a:t>（按可比价）</a:t>
            </a:r>
          </a:p>
        </c:rich>
      </c:tx>
      <c:overlay val="0"/>
      <c:spPr>
        <a:noFill/>
        <a:ln>
          <a:noFill/>
        </a:ln>
        <a:effectLst/>
      </c:spPr>
    </c:title>
    <c:autoTitleDeleted val="0"/>
    <c:plotArea>
      <c:layout>
        <c:manualLayout>
          <c:layoutTarget val="inner"/>
          <c:xMode val="edge"/>
          <c:yMode val="edge"/>
          <c:x val="5.7108705161854748E-2"/>
          <c:y val="0.16483814523184601"/>
          <c:w val="0.91789129483814558"/>
          <c:h val="0.72776246719160109"/>
        </c:manualLayout>
      </c:layout>
      <c:lineChart>
        <c:grouping val="standard"/>
        <c:varyColors val="0"/>
        <c:ser>
          <c:idx val="0"/>
          <c:order val="0"/>
          <c:tx>
            <c:strRef>
              <c:f>Sheet1!$A$13</c:f>
              <c:strCache>
                <c:ptCount val="1"/>
                <c:pt idx="0">
                  <c:v>比上年增长</c:v>
                </c:pt>
              </c:strCache>
            </c:strRef>
          </c:tx>
          <c:spPr>
            <a:ln w="2222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Sheet1!$B$13:$F$13</c:f>
              <c:numCache>
                <c:formatCode>General</c:formatCode>
                <c:ptCount val="5"/>
                <c:pt idx="0">
                  <c:v>4.7</c:v>
                </c:pt>
                <c:pt idx="1">
                  <c:v>4</c:v>
                </c:pt>
                <c:pt idx="2">
                  <c:v>4.3</c:v>
                </c:pt>
                <c:pt idx="3">
                  <c:v>3.1</c:v>
                </c:pt>
                <c:pt idx="4">
                  <c:v>3.5</c:v>
                </c:pt>
              </c:numCache>
            </c:numRef>
          </c:val>
          <c:smooth val="0"/>
        </c:ser>
        <c:dLbls>
          <c:showLegendKey val="0"/>
          <c:showVal val="0"/>
          <c:showCatName val="0"/>
          <c:showSerName val="0"/>
          <c:showPercent val="0"/>
          <c:showBubbleSize val="0"/>
        </c:dLbls>
        <c:marker val="1"/>
        <c:smooth val="0"/>
        <c:axId val="519685040"/>
        <c:axId val="519684648"/>
      </c:lineChart>
      <c:catAx>
        <c:axId val="519685040"/>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684648"/>
        <c:crosses val="autoZero"/>
        <c:auto val="1"/>
        <c:lblAlgn val="ctr"/>
        <c:lblOffset val="100"/>
        <c:noMultiLvlLbl val="0"/>
      </c:catAx>
      <c:valAx>
        <c:axId val="519684648"/>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1.1111111111111117E-2"/>
              <c:y val="6.3094196558763499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685040"/>
        <c:crosses val="autoZero"/>
        <c:crossBetween val="between"/>
        <c:majorUnit val="1"/>
        <c:minorUnit val="0.5"/>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6    2015-2019</a:t>
            </a:r>
            <a:r>
              <a:rPr lang="zh-CN" altLang="en-US" sz="1200" b="1"/>
              <a:t>年粮食产量</a:t>
            </a:r>
          </a:p>
        </c:rich>
      </c:tx>
      <c:layout>
        <c:manualLayout>
          <c:xMode val="edge"/>
          <c:yMode val="edge"/>
          <c:x val="0.29722222222222233"/>
          <c:y val="2.3148148148148147E-2"/>
        </c:manualLayout>
      </c:layout>
      <c:overlay val="0"/>
      <c:spPr>
        <a:noFill/>
        <a:ln>
          <a:noFill/>
        </a:ln>
        <a:effectLst/>
      </c:spPr>
    </c:title>
    <c:autoTitleDeleted val="0"/>
    <c:plotArea>
      <c:layout>
        <c:manualLayout>
          <c:layoutTarget val="inner"/>
          <c:xMode val="edge"/>
          <c:yMode val="edge"/>
          <c:x val="8.4803149606299227E-2"/>
          <c:y val="0.17685185185185184"/>
          <c:w val="0.88464129483814546"/>
          <c:h val="0.71574876057159564"/>
        </c:manualLayout>
      </c:layout>
      <c:barChart>
        <c:barDir val="col"/>
        <c:grouping val="clustered"/>
        <c:varyColors val="0"/>
        <c:ser>
          <c:idx val="0"/>
          <c:order val="0"/>
          <c:tx>
            <c:strRef>
              <c:f>Sheet1!$A$3</c:f>
              <c:strCache>
                <c:ptCount val="1"/>
                <c:pt idx="0">
                  <c:v>粮食产量</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Sheet1!$B$3:$F$3</c:f>
              <c:numCache>
                <c:formatCode>General</c:formatCode>
                <c:ptCount val="5"/>
                <c:pt idx="0">
                  <c:v>117.64</c:v>
                </c:pt>
                <c:pt idx="1">
                  <c:v>105.64</c:v>
                </c:pt>
                <c:pt idx="2">
                  <c:v>107.35</c:v>
                </c:pt>
                <c:pt idx="3">
                  <c:v>82.169999999999987</c:v>
                </c:pt>
                <c:pt idx="4">
                  <c:v>81.179999999999978</c:v>
                </c:pt>
              </c:numCache>
            </c:numRef>
          </c:val>
        </c:ser>
        <c:dLbls>
          <c:showLegendKey val="0"/>
          <c:showVal val="0"/>
          <c:showCatName val="0"/>
          <c:showSerName val="0"/>
          <c:showPercent val="0"/>
          <c:showBubbleSize val="0"/>
        </c:dLbls>
        <c:gapWidth val="219"/>
        <c:overlap val="-27"/>
        <c:axId val="519683864"/>
        <c:axId val="420588136"/>
      </c:barChart>
      <c:catAx>
        <c:axId val="519683864"/>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20588136"/>
        <c:crosses val="autoZero"/>
        <c:auto val="1"/>
        <c:lblAlgn val="ctr"/>
        <c:lblOffset val="100"/>
        <c:noMultiLvlLbl val="0"/>
      </c:catAx>
      <c:valAx>
        <c:axId val="420588136"/>
        <c:scaling>
          <c:orientation val="minMax"/>
          <c:max val="120"/>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万吨</a:t>
                </a:r>
              </a:p>
            </c:rich>
          </c:tx>
          <c:layout>
            <c:manualLayout>
              <c:xMode val="edge"/>
              <c:yMode val="edge"/>
              <c:x val="1.1111111111111117E-2"/>
              <c:y val="6.2504009915427261E-2"/>
            </c:manualLayout>
          </c:layout>
          <c:overlay val="0"/>
          <c:spPr>
            <a:noFill/>
            <a:ln>
              <a:noFill/>
            </a:ln>
            <a:effectLst/>
          </c:spPr>
        </c:title>
        <c:numFmt formatCode="General" sourceLinked="1"/>
        <c:majorTickMark val="in"/>
        <c:minorTickMark val="none"/>
        <c:tickLblPos val="nextTo"/>
        <c:spPr>
          <a:noFill/>
          <a:ln>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196838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7  2015-2019</a:t>
            </a:r>
            <a:r>
              <a:rPr lang="zh-CN" altLang="en-US" sz="1200" b="1"/>
              <a:t>年全部工业增加值增长速度</a:t>
            </a:r>
            <a:r>
              <a:rPr lang="zh-CN" altLang="en-US" sz="1000" b="1"/>
              <a:t>（按可比价）</a:t>
            </a:r>
          </a:p>
        </c:rich>
      </c:tx>
      <c:overlay val="0"/>
      <c:spPr>
        <a:noFill/>
        <a:ln>
          <a:noFill/>
        </a:ln>
        <a:effectLst/>
      </c:spPr>
    </c:title>
    <c:autoTitleDeleted val="0"/>
    <c:plotArea>
      <c:layout>
        <c:manualLayout>
          <c:layoutTarget val="inner"/>
          <c:xMode val="edge"/>
          <c:yMode val="edge"/>
          <c:x val="8.7580927384077051E-2"/>
          <c:y val="0.17685185185185184"/>
          <c:w val="0.83431036745406828"/>
          <c:h val="0.72095654709827961"/>
        </c:manualLayout>
      </c:layout>
      <c:lineChart>
        <c:grouping val="standard"/>
        <c:varyColors val="0"/>
        <c:ser>
          <c:idx val="1"/>
          <c:order val="0"/>
          <c:tx>
            <c:strRef>
              <c:f>Sheet5!$A$3</c:f>
              <c:strCache>
                <c:ptCount val="1"/>
                <c:pt idx="0">
                  <c:v>比上年增长</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Sheet5!$B$1:$F$1</c:f>
              <c:numCache>
                <c:formatCode>General</c:formatCode>
                <c:ptCount val="5"/>
                <c:pt idx="0">
                  <c:v>2015</c:v>
                </c:pt>
                <c:pt idx="1">
                  <c:v>2016</c:v>
                </c:pt>
                <c:pt idx="2">
                  <c:v>2017</c:v>
                </c:pt>
                <c:pt idx="3">
                  <c:v>2018</c:v>
                </c:pt>
                <c:pt idx="4">
                  <c:v>2019</c:v>
                </c:pt>
              </c:numCache>
            </c:numRef>
          </c:cat>
          <c:val>
            <c:numRef>
              <c:f>Sheet5!$B$3:$F$3</c:f>
              <c:numCache>
                <c:formatCode>General</c:formatCode>
                <c:ptCount val="5"/>
                <c:pt idx="0">
                  <c:v>4.0999999999999996</c:v>
                </c:pt>
                <c:pt idx="1">
                  <c:v>10.200000000000001</c:v>
                </c:pt>
                <c:pt idx="2">
                  <c:v>12.9</c:v>
                </c:pt>
                <c:pt idx="3">
                  <c:v>5.6</c:v>
                </c:pt>
                <c:pt idx="4">
                  <c:v>6.4</c:v>
                </c:pt>
              </c:numCache>
            </c:numRef>
          </c:val>
          <c:smooth val="0"/>
        </c:ser>
        <c:dLbls>
          <c:showLegendKey val="0"/>
          <c:showVal val="0"/>
          <c:showCatName val="0"/>
          <c:showSerName val="0"/>
          <c:showPercent val="0"/>
          <c:showBubbleSize val="0"/>
        </c:dLbls>
        <c:marker val="1"/>
        <c:smooth val="0"/>
        <c:axId val="524068440"/>
        <c:axId val="524068832"/>
      </c:lineChart>
      <c:catAx>
        <c:axId val="524068440"/>
        <c:scaling>
          <c:orientation val="minMax"/>
        </c:scaling>
        <c:delete val="0"/>
        <c:axPos val="b"/>
        <c:numFmt formatCode="General" sourceLinked="1"/>
        <c:majorTickMark val="in"/>
        <c:minorTickMark val="none"/>
        <c:tickLblPos val="nextTo"/>
        <c:spPr>
          <a:noFill/>
          <a:ln w="9525" cap="flat" cmpd="sng" algn="ctr">
            <a:solidFill>
              <a:schemeClr val="accent2"/>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68832"/>
        <c:crosses val="autoZero"/>
        <c:auto val="1"/>
        <c:lblAlgn val="ctr"/>
        <c:lblOffset val="100"/>
        <c:noMultiLvlLbl val="0"/>
      </c:catAx>
      <c:valAx>
        <c:axId val="524068832"/>
        <c:scaling>
          <c:orientation val="minMax"/>
          <c:max val="15"/>
          <c:min val="0"/>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3.333333333333334E-2"/>
              <c:y val="6.9737532808399005E-2"/>
            </c:manualLayout>
          </c:layout>
          <c:overlay val="0"/>
          <c:spPr>
            <a:noFill/>
            <a:ln>
              <a:noFill/>
            </a:ln>
            <a:effectLst/>
          </c:spPr>
        </c:title>
        <c:numFmt formatCode="General" sourceLinked="1"/>
        <c:majorTickMark val="in"/>
        <c:minorTickMark val="none"/>
        <c:tickLblPos val="nextTo"/>
        <c:spPr>
          <a:noFill/>
          <a:ln>
            <a:solidFill>
              <a:schemeClr val="accent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68440"/>
        <c:crosses val="autoZero"/>
        <c:crossBetween val="between"/>
        <c:majorUnit val="3"/>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8 2015-2019</a:t>
            </a:r>
            <a:r>
              <a:rPr lang="zh-CN" altLang="en-US" sz="1200" b="1"/>
              <a:t>年服务业增加值增长速度</a:t>
            </a:r>
            <a:r>
              <a:rPr lang="zh-CN" altLang="en-US" sz="1000" b="1"/>
              <a:t>（按可比价）</a:t>
            </a:r>
          </a:p>
        </c:rich>
      </c:tx>
      <c:overlay val="0"/>
      <c:spPr>
        <a:noFill/>
        <a:ln>
          <a:noFill/>
        </a:ln>
        <a:effectLst/>
      </c:spPr>
    </c:title>
    <c:autoTitleDeleted val="0"/>
    <c:plotArea>
      <c:layout>
        <c:manualLayout>
          <c:layoutTarget val="inner"/>
          <c:xMode val="edge"/>
          <c:yMode val="edge"/>
          <c:x val="8.9136482939632597E-2"/>
          <c:y val="0.16483814523184601"/>
          <c:w val="0.84386592300962382"/>
          <c:h val="0.7422295129775448"/>
        </c:manualLayout>
      </c:layout>
      <c:lineChart>
        <c:grouping val="standard"/>
        <c:varyColors val="0"/>
        <c:ser>
          <c:idx val="1"/>
          <c:order val="0"/>
          <c:tx>
            <c:strRef>
              <c:f>Sheet1!$A$5</c:f>
              <c:strCache>
                <c:ptCount val="1"/>
                <c:pt idx="0">
                  <c:v>比上年增长</c:v>
                </c:pt>
              </c:strCache>
            </c:strRef>
          </c:tx>
          <c:spPr>
            <a:ln w="19050" cap="rnd">
              <a:solidFill>
                <a:schemeClr val="accent2"/>
              </a:solidFill>
              <a:round/>
            </a:ln>
            <a:effectLst/>
          </c:spPr>
          <c:marker>
            <c:symbol val="circle"/>
            <c:size val="4"/>
            <c:spPr>
              <a:solidFill>
                <a:schemeClr val="accent2"/>
              </a:solidFill>
              <a:ln w="9525">
                <a:solidFill>
                  <a:schemeClr val="accent2"/>
                </a:solidFill>
              </a:ln>
              <a:effectLst/>
            </c:spPr>
          </c:marker>
          <c:dLbls>
            <c:dLbl>
              <c:idx val="0"/>
              <c:layout>
                <c:manualLayout>
                  <c:x val="-3.6277777777777812E-2"/>
                  <c:y val="3.93172207640711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4.2208442694663215E-2"/>
                  <c:y val="4.39468503937006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2208442694663152E-2"/>
                  <c:y val="4.39468503937007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8541776027996496E-2"/>
                  <c:y val="4.85764800233303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9430664916885391E-2"/>
                  <c:y val="3.9317220764071174E-2"/>
                </c:manualLayout>
              </c:layout>
              <c:tx>
                <c:rich>
                  <a:bodyPr/>
                  <a:lstStyle/>
                  <a:p>
                    <a:r>
                      <a:rPr lang="en-US" altLang="zh-CN"/>
                      <a:t>8.5</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Sheet1!$B$5:$F$5</c:f>
              <c:numCache>
                <c:formatCode>General</c:formatCode>
                <c:ptCount val="5"/>
                <c:pt idx="0">
                  <c:v>13</c:v>
                </c:pt>
                <c:pt idx="1">
                  <c:v>9.6</c:v>
                </c:pt>
                <c:pt idx="2">
                  <c:v>8.4</c:v>
                </c:pt>
                <c:pt idx="3">
                  <c:v>11.1</c:v>
                </c:pt>
                <c:pt idx="4">
                  <c:v>8.5</c:v>
                </c:pt>
              </c:numCache>
            </c:numRef>
          </c:val>
          <c:smooth val="0"/>
        </c:ser>
        <c:dLbls>
          <c:showLegendKey val="0"/>
          <c:showVal val="0"/>
          <c:showCatName val="0"/>
          <c:showSerName val="0"/>
          <c:showPercent val="0"/>
          <c:showBubbleSize val="0"/>
        </c:dLbls>
        <c:marker val="1"/>
        <c:smooth val="0"/>
        <c:axId val="524069616"/>
        <c:axId val="524070008"/>
      </c:lineChart>
      <c:catAx>
        <c:axId val="524069616"/>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0008"/>
        <c:crosses val="autoZero"/>
        <c:auto val="1"/>
        <c:lblAlgn val="ctr"/>
        <c:lblOffset val="100"/>
        <c:noMultiLvlLbl val="0"/>
      </c:catAx>
      <c:valAx>
        <c:axId val="524070008"/>
        <c:scaling>
          <c:orientation val="minMax"/>
          <c:max val="15"/>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4.7222222222222235E-2"/>
              <c:y val="6.3730679498396073E-2"/>
            </c:manualLayout>
          </c:layout>
          <c:overlay val="0"/>
          <c:spPr>
            <a:noFill/>
            <a:ln>
              <a:noFill/>
            </a:ln>
            <a:effectLst/>
          </c:spPr>
        </c:title>
        <c:numFmt formatCode="General" sourceLinked="1"/>
        <c:majorTickMark val="in"/>
        <c:minorTickMark val="none"/>
        <c:tickLblPos val="nextTo"/>
        <c:spPr>
          <a:noFill/>
          <a:ln>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69616"/>
        <c:crosses val="autoZero"/>
        <c:crossBetween val="between"/>
        <c:majorUnit val="3"/>
        <c:min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9</a:t>
            </a:r>
            <a:r>
              <a:rPr lang="en-US" altLang="zh-CN" sz="1200" b="1" baseline="0"/>
              <a:t>  </a:t>
            </a:r>
            <a:r>
              <a:rPr lang="en-US" altLang="zh-CN" sz="1200" b="1"/>
              <a:t> 2015-2019</a:t>
            </a:r>
            <a:r>
              <a:rPr lang="zh-CN" altLang="en-US" sz="1200" b="1"/>
              <a:t>年社会消费品零售总额</a:t>
            </a:r>
            <a:endParaRPr lang="zh-CN" altLang="en-US" sz="800" b="1"/>
          </a:p>
        </c:rich>
      </c:tx>
      <c:overlay val="0"/>
      <c:spPr>
        <a:noFill/>
        <a:ln>
          <a:noFill/>
        </a:ln>
        <a:effectLst/>
      </c:spPr>
    </c:title>
    <c:autoTitleDeleted val="0"/>
    <c:plotArea>
      <c:layout>
        <c:manualLayout>
          <c:layoutTarget val="inner"/>
          <c:xMode val="edge"/>
          <c:yMode val="edge"/>
          <c:x val="8.6358705161854801E-2"/>
          <c:y val="0.16483814523184601"/>
          <c:w val="0.88308573928258982"/>
          <c:h val="0.72776246719160109"/>
        </c:manualLayout>
      </c:layout>
      <c:barChart>
        <c:barDir val="col"/>
        <c:grouping val="clustered"/>
        <c:varyColors val="0"/>
        <c:ser>
          <c:idx val="0"/>
          <c:order val="0"/>
          <c:tx>
            <c:strRef>
              <c:f>Sheet1!$A$6</c:f>
              <c:strCache>
                <c:ptCount val="1"/>
                <c:pt idx="0">
                  <c:v>社会消费品零售总额</c:v>
                </c:pt>
              </c:strCache>
            </c:strRef>
          </c:tx>
          <c:spPr>
            <a:solidFill>
              <a:schemeClr val="accent6">
                <a:lumMod val="60000"/>
                <a:lumOff val="4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2015</c:v>
                </c:pt>
                <c:pt idx="1">
                  <c:v>2016</c:v>
                </c:pt>
                <c:pt idx="2">
                  <c:v>2017</c:v>
                </c:pt>
                <c:pt idx="3">
                  <c:v>2018</c:v>
                </c:pt>
                <c:pt idx="4">
                  <c:v>2019</c:v>
                </c:pt>
              </c:numCache>
            </c:numRef>
          </c:cat>
          <c:val>
            <c:numRef>
              <c:f>Sheet1!$B$6:$F$6</c:f>
              <c:numCache>
                <c:formatCode>General</c:formatCode>
                <c:ptCount val="5"/>
                <c:pt idx="0">
                  <c:v>639.4</c:v>
                </c:pt>
                <c:pt idx="1">
                  <c:v>725</c:v>
                </c:pt>
                <c:pt idx="2">
                  <c:v>818.1</c:v>
                </c:pt>
                <c:pt idx="3">
                  <c:v>915</c:v>
                </c:pt>
                <c:pt idx="4">
                  <c:v>1029.5999999999999</c:v>
                </c:pt>
              </c:numCache>
            </c:numRef>
          </c:val>
        </c:ser>
        <c:dLbls>
          <c:showLegendKey val="0"/>
          <c:showVal val="0"/>
          <c:showCatName val="0"/>
          <c:showSerName val="0"/>
          <c:showPercent val="0"/>
          <c:showBubbleSize val="0"/>
        </c:dLbls>
        <c:gapWidth val="219"/>
        <c:overlap val="-27"/>
        <c:axId val="524070792"/>
        <c:axId val="524071184"/>
      </c:barChart>
      <c:catAx>
        <c:axId val="524070792"/>
        <c:scaling>
          <c:orientation val="minMax"/>
        </c:scaling>
        <c:delete val="0"/>
        <c:axPos val="b"/>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1184"/>
        <c:crosses val="autoZero"/>
        <c:auto val="1"/>
        <c:lblAlgn val="ctr"/>
        <c:lblOffset val="100"/>
        <c:noMultiLvlLbl val="0"/>
      </c:catAx>
      <c:valAx>
        <c:axId val="524071184"/>
        <c:scaling>
          <c:orientation val="minMax"/>
        </c:scaling>
        <c:delete val="0"/>
        <c:axPos val="l"/>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亿元</a:t>
                </a:r>
              </a:p>
            </c:rich>
          </c:tx>
          <c:layout>
            <c:manualLayout>
              <c:xMode val="edge"/>
              <c:yMode val="edge"/>
              <c:x val="1.3888888888888897E-2"/>
              <c:y val="7.0386045494313196E-2"/>
            </c:manualLayout>
          </c:layout>
          <c:overlay val="0"/>
          <c:spPr>
            <a:noFill/>
            <a:ln>
              <a:noFill/>
            </a:ln>
            <a:effectLst/>
          </c:sp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4070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98BA-224A-47CC-BB85-473E8C73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18</Pages>
  <Words>1272</Words>
  <Characters>7252</Characters>
  <Application>Microsoft Office Word</Application>
  <DocSecurity>0</DocSecurity>
  <Lines>60</Lines>
  <Paragraphs>17</Paragraphs>
  <ScaleCrop>false</ScaleCrop>
  <Company>国家统计局</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hxb</dc:creator>
  <cp:keywords/>
  <dc:description/>
  <cp:lastModifiedBy>hxb</cp:lastModifiedBy>
  <cp:revision>102</cp:revision>
  <dcterms:created xsi:type="dcterms:W3CDTF">2020-04-01T02:51:00Z</dcterms:created>
  <dcterms:modified xsi:type="dcterms:W3CDTF">2020-04-15T03:19:00Z</dcterms:modified>
</cp:coreProperties>
</file>